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2AA6" w:rsidRDefault="00172AA6">
      <w:bookmarkStart w:id="0" w:name="_GoBack"/>
      <w:bookmarkEnd w:id="0"/>
    </w:p>
    <w:p w:rsidR="002737AA" w:rsidRDefault="002737AA" w:rsidP="002737AA">
      <w:pPr>
        <w:jc w:val="center"/>
        <w:rPr>
          <w:b/>
          <w:bCs/>
          <w:sz w:val="28"/>
          <w:szCs w:val="28"/>
        </w:rPr>
      </w:pPr>
      <w:r w:rsidRPr="002737AA">
        <w:rPr>
          <w:b/>
          <w:bCs/>
          <w:sz w:val="28"/>
          <w:szCs w:val="28"/>
        </w:rPr>
        <w:t xml:space="preserve">Avancées récentes en inversion de formes d’onde </w:t>
      </w:r>
      <w:r w:rsidR="00BE0DD2">
        <w:rPr>
          <w:b/>
          <w:bCs/>
          <w:sz w:val="28"/>
          <w:szCs w:val="28"/>
        </w:rPr>
        <w:t>pour la</w:t>
      </w:r>
      <w:r w:rsidRPr="002737AA">
        <w:rPr>
          <w:b/>
          <w:bCs/>
          <w:sz w:val="28"/>
          <w:szCs w:val="28"/>
        </w:rPr>
        <w:t xml:space="preserve"> proche surface</w:t>
      </w:r>
    </w:p>
    <w:p w:rsidR="002737AA" w:rsidRDefault="002737AA" w:rsidP="002737AA">
      <w:pPr>
        <w:jc w:val="center"/>
        <w:rPr>
          <w:b/>
          <w:bCs/>
          <w:sz w:val="28"/>
          <w:szCs w:val="28"/>
        </w:rPr>
      </w:pPr>
    </w:p>
    <w:p w:rsidR="002737AA" w:rsidRDefault="002737AA" w:rsidP="002737AA">
      <w:pPr>
        <w:jc w:val="center"/>
        <w:rPr>
          <w:i/>
          <w:iCs/>
          <w:lang w:val="en-US"/>
        </w:rPr>
      </w:pPr>
      <w:r w:rsidRPr="002737AA">
        <w:rPr>
          <w:i/>
          <w:iCs/>
          <w:lang w:val="en-US"/>
        </w:rPr>
        <w:t>Recent advances in Near Surface Full Waveform Inversion</w:t>
      </w:r>
    </w:p>
    <w:p w:rsidR="002737AA" w:rsidRDefault="002737AA" w:rsidP="002737AA">
      <w:pPr>
        <w:jc w:val="center"/>
        <w:rPr>
          <w:i/>
          <w:iCs/>
          <w:lang w:val="en-US"/>
        </w:rPr>
      </w:pPr>
    </w:p>
    <w:p w:rsidR="002737AA" w:rsidRPr="006338CE" w:rsidRDefault="002737AA" w:rsidP="002737AA">
      <w:pPr>
        <w:rPr>
          <w:u w:val="single"/>
          <w:lang w:val="fr-CA"/>
        </w:rPr>
      </w:pPr>
      <w:r w:rsidRPr="006338CE">
        <w:rPr>
          <w:u w:val="single"/>
          <w:lang w:val="fr-CA"/>
        </w:rPr>
        <w:t>Gabriel Fabien-Ouellet</w:t>
      </w:r>
      <w:r w:rsidRPr="006338CE">
        <w:rPr>
          <w:u w:val="single"/>
          <w:vertAlign w:val="superscript"/>
          <w:lang w:val="fr-CA"/>
        </w:rPr>
        <w:t xml:space="preserve">1 </w:t>
      </w:r>
    </w:p>
    <w:p w:rsidR="002737AA" w:rsidRPr="006338CE" w:rsidRDefault="002737AA" w:rsidP="002737AA">
      <w:pPr>
        <w:rPr>
          <w:u w:val="single"/>
          <w:lang w:val="fr-CA"/>
        </w:rPr>
      </w:pPr>
    </w:p>
    <w:p w:rsidR="002737AA" w:rsidRPr="002737AA" w:rsidRDefault="002737AA" w:rsidP="002737AA">
      <w:pPr>
        <w:rPr>
          <w:rFonts w:ascii="Times New Roman" w:eastAsia="Times New Roman" w:hAnsi="Times New Roman" w:cs="Times New Roman"/>
          <w:szCs w:val="20"/>
          <w:lang w:val="fr-CA" w:eastAsia="fr-CA"/>
        </w:rPr>
      </w:pPr>
      <w:r w:rsidRPr="002737AA">
        <w:rPr>
          <w:rFonts w:eastAsia="Times New Roman" w:cs="Arial"/>
          <w:color w:val="222222"/>
          <w:szCs w:val="20"/>
          <w:shd w:val="clear" w:color="auto" w:fill="FFFFFF"/>
          <w:lang w:val="fr-CA" w:eastAsia="fr-CA"/>
        </w:rPr>
        <w:t xml:space="preserve">2900 Boulevard Edouard-Montpetit, Montréal, QC H3T 1J4, </w:t>
      </w:r>
      <w:hyperlink r:id="rId8" w:history="1">
        <w:r w:rsidRPr="002737AA">
          <w:rPr>
            <w:rStyle w:val="Lienhypertexte"/>
            <w:rFonts w:eastAsia="Times New Roman" w:cs="Arial"/>
            <w:szCs w:val="20"/>
            <w:shd w:val="clear" w:color="auto" w:fill="FFFFFF"/>
            <w:lang w:val="fr-CA" w:eastAsia="fr-CA"/>
          </w:rPr>
          <w:t>gabriel.fabien-ouellet@polymtl.ca</w:t>
        </w:r>
      </w:hyperlink>
      <w:r w:rsidRPr="002737AA">
        <w:rPr>
          <w:rFonts w:eastAsia="Times New Roman" w:cs="Arial"/>
          <w:color w:val="222222"/>
          <w:szCs w:val="20"/>
          <w:shd w:val="clear" w:color="auto" w:fill="FFFFFF"/>
          <w:lang w:val="fr-CA" w:eastAsia="fr-CA"/>
        </w:rPr>
        <w:t xml:space="preserve"> </w:t>
      </w:r>
    </w:p>
    <w:p w:rsidR="002737AA" w:rsidRDefault="002737AA" w:rsidP="002737AA">
      <w:pPr>
        <w:rPr>
          <w:u w:val="single"/>
          <w:lang w:val="fr-CA"/>
        </w:rPr>
      </w:pPr>
    </w:p>
    <w:p w:rsidR="002737AA" w:rsidRDefault="002737AA" w:rsidP="002737AA">
      <w:pPr>
        <w:rPr>
          <w:u w:val="single"/>
          <w:lang w:val="fr-CA"/>
        </w:rPr>
      </w:pPr>
    </w:p>
    <w:p w:rsidR="006338CE" w:rsidRPr="006338CE" w:rsidRDefault="006338CE" w:rsidP="002737AA">
      <w:pPr>
        <w:rPr>
          <w:b/>
          <w:bCs/>
          <w:lang w:val="fr-CA"/>
        </w:rPr>
      </w:pPr>
      <w:r w:rsidRPr="006338CE">
        <w:rPr>
          <w:b/>
          <w:bCs/>
          <w:lang w:val="fr-CA"/>
        </w:rPr>
        <w:t>Mots clefs</w:t>
      </w:r>
    </w:p>
    <w:p w:rsidR="006338CE" w:rsidRPr="006338CE" w:rsidRDefault="006338CE" w:rsidP="002737AA">
      <w:pPr>
        <w:rPr>
          <w:lang w:val="fr-CA"/>
        </w:rPr>
      </w:pPr>
      <w:r w:rsidRPr="006338CE">
        <w:rPr>
          <w:lang w:val="fr-CA"/>
        </w:rPr>
        <w:t>Méthodes sismiques de proche surface, inversion de formes d’onde, vitesse sismique, ondes P et ondes S</w:t>
      </w:r>
    </w:p>
    <w:p w:rsidR="006338CE" w:rsidRDefault="006338CE" w:rsidP="002737AA">
      <w:pPr>
        <w:rPr>
          <w:u w:val="single"/>
          <w:lang w:val="fr-CA"/>
        </w:rPr>
      </w:pPr>
    </w:p>
    <w:p w:rsidR="006338CE" w:rsidRPr="006338CE" w:rsidRDefault="006338CE" w:rsidP="002737AA">
      <w:pPr>
        <w:rPr>
          <w:b/>
          <w:bCs/>
          <w:lang w:val="fr-CA"/>
        </w:rPr>
      </w:pPr>
      <w:r w:rsidRPr="006338CE">
        <w:rPr>
          <w:b/>
          <w:bCs/>
          <w:lang w:val="fr-CA"/>
        </w:rPr>
        <w:t>Résumé</w:t>
      </w:r>
    </w:p>
    <w:p w:rsidR="006338CE" w:rsidRPr="006338CE" w:rsidRDefault="004E38D3" w:rsidP="002737AA">
      <w:pPr>
        <w:rPr>
          <w:lang w:val="fr-CA"/>
        </w:rPr>
      </w:pPr>
      <w:r>
        <w:rPr>
          <w:lang w:val="fr-CA"/>
        </w:rPr>
        <w:t>Cet article porte sur le potentiel de l’inversion de formes d’onde en vue de la caractérisation de proche surface (&lt;100m). Nous discuterons comment cette technique de traitement permet de profiter de la richesse de l’information contenue dans les données sismiques que les méthodes traditionnelles (MASW, sismique réfraction ou réflexion) ne sont pas en mesure d’exploiter.</w:t>
      </w:r>
    </w:p>
    <w:p w:rsidR="00BE0DD2" w:rsidRDefault="00BE0DD2" w:rsidP="004E38D3">
      <w:pPr>
        <w:rPr>
          <w:b/>
          <w:bCs/>
          <w:lang w:val="en-US"/>
        </w:rPr>
      </w:pPr>
    </w:p>
    <w:p w:rsidR="004E38D3" w:rsidRPr="004E38D3" w:rsidRDefault="004E38D3" w:rsidP="004E38D3">
      <w:pPr>
        <w:rPr>
          <w:b/>
          <w:bCs/>
          <w:lang w:val="en-US"/>
        </w:rPr>
      </w:pPr>
      <w:r w:rsidRPr="004E38D3">
        <w:rPr>
          <w:b/>
          <w:bCs/>
          <w:lang w:val="en-US"/>
        </w:rPr>
        <w:t>Abstract</w:t>
      </w:r>
    </w:p>
    <w:p w:rsidR="004E38D3" w:rsidRPr="004E38D3" w:rsidRDefault="004E38D3" w:rsidP="004E38D3">
      <w:pPr>
        <w:rPr>
          <w:lang w:val="en-US"/>
        </w:rPr>
      </w:pPr>
      <w:r w:rsidRPr="004E38D3">
        <w:rPr>
          <w:lang w:val="en-US"/>
        </w:rPr>
        <w:t xml:space="preserve">We discuss about the potential </w:t>
      </w:r>
      <w:r>
        <w:rPr>
          <w:lang w:val="en-US"/>
        </w:rPr>
        <w:t>of Full Waveform Inversion for near</w:t>
      </w:r>
      <w:r w:rsidR="00C56691">
        <w:rPr>
          <w:lang w:val="en-US"/>
        </w:rPr>
        <w:t>-</w:t>
      </w:r>
      <w:r>
        <w:rPr>
          <w:lang w:val="en-US"/>
        </w:rPr>
        <w:t xml:space="preserve">surface </w:t>
      </w:r>
      <w:r w:rsidR="00BB6086">
        <w:rPr>
          <w:lang w:val="en-US"/>
        </w:rPr>
        <w:t>characterization</w:t>
      </w:r>
      <w:r>
        <w:rPr>
          <w:lang w:val="en-US"/>
        </w:rPr>
        <w:t xml:space="preserve"> (&lt;100</w:t>
      </w:r>
      <w:r w:rsidR="00C56691">
        <w:rPr>
          <w:lang w:val="en-US"/>
        </w:rPr>
        <w:t> </w:t>
      </w:r>
      <w:r>
        <w:rPr>
          <w:lang w:val="en-US"/>
        </w:rPr>
        <w:t>m). The focus will be on showing how the rich information contained in seismic data can be exploited by this new technique</w:t>
      </w:r>
      <w:r w:rsidR="00BB6086">
        <w:rPr>
          <w:lang w:val="en-US"/>
        </w:rPr>
        <w:t xml:space="preserve">, and how this can be advantageous over traditional processing approaches (MASW, reflection or refraction seismic). </w:t>
      </w:r>
    </w:p>
    <w:p w:rsidR="006338CE" w:rsidRDefault="006338CE" w:rsidP="002737AA">
      <w:pPr>
        <w:rPr>
          <w:u w:val="single"/>
          <w:lang w:val="en-US"/>
        </w:rPr>
      </w:pPr>
    </w:p>
    <w:p w:rsidR="0061460C" w:rsidRPr="0061460C" w:rsidRDefault="0061460C" w:rsidP="002737AA">
      <w:pPr>
        <w:rPr>
          <w:b/>
          <w:bCs/>
          <w:lang w:val="fr-CA"/>
        </w:rPr>
      </w:pPr>
      <w:r w:rsidRPr="0061460C">
        <w:rPr>
          <w:b/>
          <w:bCs/>
          <w:lang w:val="fr-CA"/>
        </w:rPr>
        <w:t>Introduction</w:t>
      </w:r>
    </w:p>
    <w:p w:rsidR="0061460C" w:rsidRDefault="0061460C" w:rsidP="0061460C">
      <w:pPr>
        <w:rPr>
          <w:lang w:val="fr-CA"/>
        </w:rPr>
      </w:pPr>
      <w:r>
        <w:rPr>
          <w:lang w:val="fr-CA"/>
        </w:rPr>
        <w:t xml:space="preserve">En génie, les mesures sismiques sont </w:t>
      </w:r>
      <w:r w:rsidRPr="004F4788">
        <w:t>largement utilisées pour estimer les propriétés mécaniques des sols et des roches, ainsi que la structure de la sous-surface. Par exemple, en géotechnique, la mesure de la vitesse des ondes de cisaillement est particulièrement</w:t>
      </w:r>
      <w:r>
        <w:rPr>
          <w:lang w:val="fr-CA"/>
        </w:rPr>
        <w:t xml:space="preserve"> utile, notamment pour l’</w:t>
      </w:r>
      <w:r>
        <w:rPr>
          <w:rFonts w:cs="Times New Roman"/>
        </w:rPr>
        <w:t xml:space="preserve">étude </w:t>
      </w:r>
      <w:r>
        <w:rPr>
          <w:lang w:val="fr-CA"/>
        </w:rPr>
        <w:t xml:space="preserve">des effets sismiques locaux </w:t>
      </w:r>
      <w:r>
        <w:rPr>
          <w:rFonts w:cs="Times New Roman"/>
        </w:rPr>
        <w:t>des sites</w:t>
      </w:r>
      <w:r>
        <w:rPr>
          <w:lang w:val="fr-CA"/>
        </w:rPr>
        <w:t xml:space="preserve"> </w:t>
      </w:r>
      <w:r>
        <w:rPr>
          <w:lang w:val="fr-CA"/>
        </w:rPr>
        <w:fldChar w:fldCharType="begin"/>
      </w:r>
      <w:r w:rsidR="00CF2B5A">
        <w:rPr>
          <w:lang w:val="fr-CA"/>
        </w:rPr>
        <w:instrText xml:space="preserve"> ADDIN EN.CITE &lt;EndNote&gt;&lt;Cite&gt;&lt;Author&gt;Hunter&lt;/Author&gt;&lt;Year&gt;2015&lt;/Year&gt;&lt;RecNum&gt;729&lt;/RecNum&gt;&lt;DisplayText&gt;(Hunter et al., 2015)&lt;/DisplayText&gt;&lt;record&gt;&lt;rec-number&gt;729&lt;/rec-number&gt;&lt;foreign-keys&gt;&lt;key app="EN" db-id="ppsd5par292dz4eep2cva0rnspeddaft5e2t" timestamp="1503520909" guid="eeb656f8-4269-43ea-9694-7de962057f06"&gt;729&lt;/key&gt;&lt;/foreign-keys&gt;&lt;ref-type name="Book"&gt;6&lt;/ref-type&gt;&lt;contributors&gt;&lt;authors&gt;&lt;author&gt;Hunter, JAM&lt;/author&gt;&lt;author&gt;Crow, HL&lt;/author&gt;&lt;author&gt;Arsenault, JL&lt;/author&gt;&lt;author&gt;Atukorala, U&lt;/author&gt;&lt;author&gt;Best, ME&lt;/author&gt;&lt;author&gt;Campos, D&lt;/author&gt;&lt;author&gt;Candy, C&lt;/author&gt;&lt;author&gt;Chouinard, L&lt;/author&gt;&lt;author&gt;Claprood, M&lt;/author&gt;&lt;author&gt;Dutrisac, H&lt;/author&gt;&lt;/authors&gt;&lt;/contributors&gt;&lt;titles&gt;&lt;title&gt;Shear wave velocity measurement guidelines for Canadian seismic site characterization in soil and rock&lt;/title&gt;&lt;/titles&gt;&lt;dates&gt;&lt;year&gt;2015&lt;/year&gt;&lt;/dates&gt;&lt;publisher&gt;Natural Resources Canada&lt;/publisher&gt;&lt;urls&gt;&lt;/urls&gt;&lt;/record&gt;&lt;/Cite&gt;&lt;/EndNote&gt;</w:instrText>
      </w:r>
      <w:r>
        <w:rPr>
          <w:lang w:val="fr-CA"/>
        </w:rPr>
        <w:fldChar w:fldCharType="separate"/>
      </w:r>
      <w:r w:rsidR="00CF2B5A">
        <w:rPr>
          <w:noProof/>
          <w:lang w:val="fr-CA"/>
        </w:rPr>
        <w:t>(Hunter et al., 2015)</w:t>
      </w:r>
      <w:r>
        <w:rPr>
          <w:lang w:val="fr-CA"/>
        </w:rPr>
        <w:fldChar w:fldCharType="end"/>
      </w:r>
      <w:r>
        <w:rPr>
          <w:lang w:val="fr-CA"/>
        </w:rPr>
        <w:t xml:space="preserve">. Ces mesures sont </w:t>
      </w:r>
      <w:r w:rsidR="00935351">
        <w:rPr>
          <w:lang w:val="fr-CA"/>
        </w:rPr>
        <w:t>couramment</w:t>
      </w:r>
      <w:r>
        <w:rPr>
          <w:lang w:val="fr-CA"/>
        </w:rPr>
        <w:t xml:space="preserve"> effectuées </w:t>
      </w:r>
      <w:r w:rsidR="00BE0DD2">
        <w:rPr>
          <w:lang w:val="fr-CA"/>
        </w:rPr>
        <w:t>grâce à</w:t>
      </w:r>
      <w:r>
        <w:rPr>
          <w:lang w:val="fr-CA"/>
        </w:rPr>
        <w:t xml:space="preserve"> l’analyse multicanale des ondes de surface </w:t>
      </w:r>
      <w:r>
        <w:rPr>
          <w:lang w:val="fr-CA"/>
        </w:rPr>
        <w:fldChar w:fldCharType="begin"/>
      </w:r>
      <w:r w:rsidR="00CF2B5A">
        <w:rPr>
          <w:lang w:val="fr-CA"/>
        </w:rPr>
        <w:instrText xml:space="preserve"> ADDIN EN.CITE &lt;EndNote&gt;&lt;Cite&gt;&lt;Author&gt;Park&lt;/Author&gt;&lt;Year&gt;1999&lt;/Year&gt;&lt;RecNum&gt;663&lt;/RecNum&gt;&lt;DisplayText&gt;(Park et al., 1999)&lt;/DisplayText&gt;&lt;record&gt;&lt;rec-number&gt;663&lt;/rec-number&gt;&lt;foreign-keys&gt;&lt;key app="EN" db-id="ppsd5par292dz4eep2cva0rnspeddaft5e2t" timestamp="1483460473" guid="c4883a91-4e6d-4463-aee0-5735ba8ab4f0"&gt;663&lt;/key&gt;&lt;key app="ENWeb" db-id=""&gt;0&lt;/key&gt;&lt;/foreign-keys&gt;&lt;ref-type name="Journal Article"&gt;17&lt;/ref-type&gt;&lt;contributors&gt;&lt;authors&gt;&lt;author&gt;Park, Choon B.&lt;/author&gt;&lt;author&gt;Miller, Richard D.&lt;/author&gt;&lt;author&gt;Xia, Jianghai&lt;/author&gt;&lt;/authors&gt;&lt;/contributors&gt;&lt;titles&gt;&lt;title&gt;Multichannel analysis of surface waves&lt;/title&gt;&lt;secondary-title&gt;Geophysics&lt;/secondary-title&gt;&lt;/titles&gt;&lt;periodical&gt;&lt;full-title&gt;Geophysics&lt;/full-title&gt;&lt;/periodical&gt;&lt;pages&gt;800-808&lt;/pages&gt;&lt;volume&gt;64&lt;/volume&gt;&lt;number&gt;3&lt;/number&gt;&lt;dates&gt;&lt;year&gt;1999&lt;/year&gt;&lt;/dates&gt;&lt;isbn&gt;0016-8033&amp;#xD;1942-2156&lt;/isbn&gt;&lt;urls&gt;&lt;/urls&gt;&lt;electronic-resource-num&gt;10.1190/1.1444590&lt;/electronic-resource-num&gt;&lt;/record&gt;&lt;/Cite&gt;&lt;/EndNote&gt;</w:instrText>
      </w:r>
      <w:r>
        <w:rPr>
          <w:lang w:val="fr-CA"/>
        </w:rPr>
        <w:fldChar w:fldCharType="separate"/>
      </w:r>
      <w:r w:rsidR="00CF2B5A">
        <w:rPr>
          <w:noProof/>
          <w:lang w:val="fr-CA"/>
        </w:rPr>
        <w:t>(Park et al., 1999)</w:t>
      </w:r>
      <w:r>
        <w:rPr>
          <w:lang w:val="fr-CA"/>
        </w:rPr>
        <w:fldChar w:fldCharType="end"/>
      </w:r>
      <w:r>
        <w:rPr>
          <w:lang w:val="fr-CA"/>
        </w:rPr>
        <w:t xml:space="preserve">. Une autre utilisation </w:t>
      </w:r>
      <w:r w:rsidR="00935351">
        <w:rPr>
          <w:lang w:val="fr-CA"/>
        </w:rPr>
        <w:t>classique</w:t>
      </w:r>
      <w:r>
        <w:rPr>
          <w:lang w:val="fr-CA"/>
        </w:rPr>
        <w:t xml:space="preserve"> est l’estimation des profondeurs et de la qualité du roc par la sismique réfraction </w:t>
      </w:r>
      <w:r>
        <w:rPr>
          <w:lang w:val="fr-CA"/>
        </w:rPr>
        <w:fldChar w:fldCharType="begin"/>
      </w:r>
      <w:r w:rsidR="00CF2B5A">
        <w:rPr>
          <w:lang w:val="fr-CA"/>
        </w:rPr>
        <w:instrText xml:space="preserve"> ADDIN EN.CITE &lt;EndNote&gt;&lt;Cite&gt;&lt;Author&gt;Palmer&lt;/Author&gt;&lt;Year&gt;1981&lt;/Year&gt;&lt;RecNum&gt;650&lt;/RecNum&gt;&lt;DisplayText&gt;(Hagedoorn, 1959, Palmer, 1981)&lt;/DisplayText&gt;&lt;record&gt;&lt;rec-number&gt;650&lt;/rec-number&gt;&lt;foreign-keys&gt;&lt;key app="EN" db-id="ppsd5par292dz4eep2cva0rnspeddaft5e2t" timestamp="1483205438" guid="0370057f-93d2-4f19-8876-2dd870e708da"&gt;650&lt;/key&gt;&lt;key app="ENWeb" db-id=""&gt;0&lt;/key&gt;&lt;/foreign-keys&gt;&lt;ref-type name="Journal Article"&gt;17&lt;/ref-type&gt;&lt;contributors&gt;&lt;authors&gt;&lt;author&gt;Palmer, Derecke&lt;/author&gt;&lt;/authors&gt;&lt;/contributors&gt;&lt;titles&gt;&lt;title&gt;An Introduction to the generalized reciprocal method of seismic refraction interpretation&lt;/title&gt;&lt;secondary-title&gt;Geophysics&lt;/secondary-title&gt;&lt;/titles&gt;&lt;periodical&gt;&lt;full-title&gt;Geophysics&lt;/full-title&gt;&lt;/periodical&gt;&lt;pages&gt;1508-1518&lt;/pages&gt;&lt;volume&gt;46&lt;/volume&gt;&lt;number&gt;11&lt;/number&gt;&lt;dates&gt;&lt;year&gt;1981&lt;/year&gt;&lt;/dates&gt;&lt;isbn&gt;0016-8033&amp;#xD;1942-2156&lt;/isbn&gt;&lt;urls&gt;&lt;/urls&gt;&lt;electronic-resource-num&gt;10.1190/1.1441157&lt;/electronic-resource-num&gt;&lt;/record&gt;&lt;/Cite&gt;&lt;Cite&gt;&lt;Author&gt;Hagedoorn&lt;/Author&gt;&lt;Year&gt;1959&lt;/Year&gt;&lt;RecNum&gt;652&lt;/RecNum&gt;&lt;record&gt;&lt;rec-number&gt;652&lt;/rec-number&gt;&lt;foreign-keys&gt;&lt;key app="EN" db-id="ppsd5par292dz4eep2cva0rnspeddaft5e2t" timestamp="1483206132" guid="cd1680c8-9104-4dff-bbbf-268ef5955d4f"&gt;652&lt;/key&gt;&lt;key app="ENWeb" db-id=""&gt;0&lt;/key&gt;&lt;/foreign-keys&gt;&lt;ref-type name="Journal Article"&gt;17&lt;/ref-type&gt;&lt;contributors&gt;&lt;authors&gt;&lt;author&gt;Hagedoorn, J. G.&lt;/author&gt;&lt;/authors&gt;&lt;/contributors&gt;&lt;titles&gt;&lt;title&gt;The Plus-Minus Method of Interpreting Seismic Refraction Sections*&lt;/title&gt;&lt;secondary-title&gt;Geophysical Prospecting&lt;/secondary-title&gt;&lt;/titles&gt;&lt;periodical&gt;&lt;full-title&gt;Geophysical Prospecting&lt;/full-title&gt;&lt;/periodical&gt;&lt;pages&gt;158-182&lt;/pages&gt;&lt;volume&gt;7&lt;/volume&gt;&lt;number&gt;2&lt;/number&gt;&lt;dates&gt;&lt;year&gt;1959&lt;/year&gt;&lt;/dates&gt;&lt;isbn&gt;0016-8025&amp;#xD;1365-2478&lt;/isbn&gt;&lt;urls&gt;&lt;/urls&gt;&lt;electronic-resource-num&gt;10.1111/j.1365-2478.1959.tb01460.x&lt;/electronic-resource-num&gt;&lt;/record&gt;&lt;/Cite&gt;&lt;/EndNote&gt;</w:instrText>
      </w:r>
      <w:r>
        <w:rPr>
          <w:lang w:val="fr-CA"/>
        </w:rPr>
        <w:fldChar w:fldCharType="separate"/>
      </w:r>
      <w:r w:rsidR="00CF2B5A">
        <w:rPr>
          <w:noProof/>
          <w:lang w:val="fr-CA"/>
        </w:rPr>
        <w:t>(Hagedoorn, 1959, Palmer, 1981)</w:t>
      </w:r>
      <w:r>
        <w:rPr>
          <w:lang w:val="fr-CA"/>
        </w:rPr>
        <w:fldChar w:fldCharType="end"/>
      </w:r>
      <w:r>
        <w:rPr>
          <w:lang w:val="fr-CA"/>
        </w:rPr>
        <w:t xml:space="preserve">. En hydrogéologie, la sismique réflexion est devenue un outil puissant pour inférer la structure et les propriétés hydrogéologiques des aquifères </w:t>
      </w:r>
      <w:r>
        <w:rPr>
          <w:lang w:val="fr-CA"/>
        </w:rPr>
        <w:fldChar w:fldCharType="begin"/>
      </w:r>
      <w:r w:rsidR="00CF2B5A">
        <w:rPr>
          <w:lang w:val="fr-CA"/>
        </w:rPr>
        <w:instrText xml:space="preserve"> ADDIN EN.CITE &lt;EndNote&gt;&lt;Cite&gt;&lt;Author&gt;Pugin&lt;/Author&gt;&lt;Year&gt;2009&lt;/Year&gt;&lt;RecNum&gt;720&lt;/RecNum&gt;&lt;DisplayText&gt;(Pugin et al., 2009)&lt;/DisplayText&gt;&lt;record&gt;&lt;rec-number&gt;720&lt;/rec-number&gt;&lt;foreign-keys&gt;&lt;key app="EN" db-id="ppsd5par292dz4eep2cva0rnspeddaft5e2t" timestamp="1502474870" guid="f0ffc8df-49e6-4014-ad0f-82e9f8f3d503"&gt;720&lt;/key&gt;&lt;/foreign-keys&gt;&lt;ref-type name="Journal Article"&gt;17&lt;/ref-type&gt;&lt;contributors&gt;&lt;authors&gt;&lt;author&gt;Pugin, André J-M&lt;/author&gt;&lt;author&gt;Pullan, Susan E&lt;/author&gt;&lt;author&gt;Hunter, James A&lt;/author&gt;&lt;author&gt;Oldenborger, Greg A&lt;/author&gt;&lt;/authors&gt;&lt;/contributors&gt;&lt;titles&gt;&lt;title&gt;Hydrogeological prospecting using P-and S-wave landstreamer seismic reflection methods&lt;/title&gt;&lt;secondary-title&gt;Near Surface Geophysics&lt;/secondary-title&gt;&lt;/titles&gt;&lt;periodical&gt;&lt;full-title&gt;Near Surface Geophysics&lt;/full-title&gt;&lt;/periodical&gt;&lt;pages&gt;315-327&lt;/pages&gt;&lt;volume&gt;7&lt;/volume&gt;&lt;number&gt;5-6&lt;/number&gt;&lt;dates&gt;&lt;year&gt;2009&lt;/year&gt;&lt;/dates&gt;&lt;isbn&gt;1873-0604&lt;/isbn&gt;&lt;urls&gt;&lt;/urls&gt;&lt;/record&gt;&lt;/Cite&gt;&lt;/EndNote&gt;</w:instrText>
      </w:r>
      <w:r>
        <w:rPr>
          <w:lang w:val="fr-CA"/>
        </w:rPr>
        <w:fldChar w:fldCharType="separate"/>
      </w:r>
      <w:r w:rsidR="00CF2B5A">
        <w:rPr>
          <w:noProof/>
          <w:lang w:val="fr-CA"/>
        </w:rPr>
        <w:t>(Pugin et al., 2009)</w:t>
      </w:r>
      <w:r>
        <w:rPr>
          <w:lang w:val="fr-CA"/>
        </w:rPr>
        <w:fldChar w:fldCharType="end"/>
      </w:r>
      <w:r>
        <w:rPr>
          <w:lang w:val="fr-CA"/>
        </w:rPr>
        <w:t xml:space="preserve">. </w:t>
      </w:r>
    </w:p>
    <w:p w:rsidR="0061460C" w:rsidRPr="0061460C" w:rsidRDefault="0061460C" w:rsidP="002737AA">
      <w:pPr>
        <w:rPr>
          <w:u w:val="single"/>
          <w:lang w:val="fr-CA"/>
        </w:rPr>
      </w:pPr>
    </w:p>
    <w:p w:rsidR="0061460C" w:rsidRDefault="0061460C" w:rsidP="002737AA">
      <w:pPr>
        <w:rPr>
          <w:lang w:val="fr-CA"/>
        </w:rPr>
      </w:pPr>
      <w:r>
        <w:rPr>
          <w:lang w:val="fr-CA"/>
        </w:rPr>
        <w:t>La diversité des méthodes sismiques et leurs multiples applications montrent à quel point elles sont riches en information. Chacune de ces méthodes vise des parties différentes de ce signal (premières arrivées pour la sismique réfraction, ondes réfléchies pour la sismique réflexion, etc.). En sélectionnant un seul type d’arrivées, il est certes possible d’établir des approches simples de traitement, or cette simplicité a un coût: une réduction de la précision et de la résolution de l’imagerie, de même que l’impossibilité de déterminer simultanément l’ensemble des propriétés mécaniques influençant la propagation des ondes.</w:t>
      </w:r>
    </w:p>
    <w:p w:rsidR="00C54E36" w:rsidRDefault="00C54E36" w:rsidP="002737AA"/>
    <w:p w:rsidR="006338CE" w:rsidRDefault="0061460C" w:rsidP="002737AA">
      <w:r>
        <w:t xml:space="preserve">Ces limitations </w:t>
      </w:r>
      <w:r w:rsidR="00BE212C">
        <w:t>peuvent</w:t>
      </w:r>
      <w:r>
        <w:t xml:space="preserve"> être levées en adoptant l’inversion de formes d’ondes (IFO)</w:t>
      </w:r>
      <w:r>
        <w:rPr>
          <w:rFonts w:cs="Times New Roman"/>
        </w:rPr>
        <w:t xml:space="preserve">. L’IFO </w:t>
      </w:r>
      <w:r>
        <w:t xml:space="preserve">utilise l’entièreté de l’information présente dans les données sismiques. Il est ainsi possible de reproduire chaque paramètre mécanique affectant la propagation des ondes (vitesse des ondes P et S, facteurs d’anisotropie et atténuation), et ce, à une résolution s’approchant des limites théoriques. Le présent travail </w:t>
      </w:r>
      <w:r w:rsidR="002A3B80">
        <w:t>discute</w:t>
      </w:r>
      <w:r>
        <w:t xml:space="preserve"> deux figures de cas : un levé sismique pour les mesures de Vs30 permettant de mieux cerner les limitations des traitements standards, </w:t>
      </w:r>
      <w:r w:rsidR="00BE0DD2">
        <w:t>notamment du</w:t>
      </w:r>
      <w:r>
        <w:t xml:space="preserve"> MASW, et un levé entre forage</w:t>
      </w:r>
      <w:r w:rsidR="00935351">
        <w:t>s</w:t>
      </w:r>
      <w:r>
        <w:t xml:space="preserve"> qui démontre le potentiel de l’IFO à reproduire simultanément les vitesses et les facteurs d’atténuation des ondes P et S.</w:t>
      </w:r>
    </w:p>
    <w:p w:rsidR="0061460C" w:rsidRDefault="0061460C" w:rsidP="002737AA"/>
    <w:p w:rsidR="00BE212C" w:rsidRDefault="00BE212C" w:rsidP="00BE212C">
      <w:pPr>
        <w:rPr>
          <w:b/>
          <w:bCs/>
          <w:lang w:val="fr-CA"/>
        </w:rPr>
      </w:pPr>
      <w:r>
        <w:rPr>
          <w:b/>
          <w:bCs/>
          <w:lang w:val="fr-CA"/>
        </w:rPr>
        <w:t>Théorie</w:t>
      </w:r>
    </w:p>
    <w:p w:rsidR="004C58BB" w:rsidRDefault="004C58BB" w:rsidP="00BE212C">
      <w:pPr>
        <w:rPr>
          <w:lang w:val="fr-CA"/>
        </w:rPr>
      </w:pPr>
      <w:r>
        <w:rPr>
          <w:lang w:val="fr-CA"/>
        </w:rPr>
        <w:t xml:space="preserve">L’inversion de formes d’onde est une technique qui se base sur la comparaison directe entre les traces sismiques enregistrées et les traces sismiques simulées. Formellement, c’est un problème de minimisation </w:t>
      </w:r>
      <w:r w:rsidR="0073115D">
        <w:rPr>
          <w:lang w:val="fr-CA"/>
        </w:rPr>
        <w:t>de la fonction objective suivante :</w:t>
      </w:r>
    </w:p>
    <w:p w:rsidR="00CF2B5A" w:rsidRDefault="00CF2B5A" w:rsidP="00BE212C">
      <w:pPr>
        <w:rPr>
          <w:lang w:val="fr-CA"/>
        </w:rPr>
      </w:pP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651"/>
      </w:tblGrid>
      <w:tr w:rsidR="002A1D51" w:rsidTr="002A1D51">
        <w:tc>
          <w:tcPr>
            <w:tcW w:w="8359" w:type="dxa"/>
            <w:vAlign w:val="center"/>
          </w:tcPr>
          <w:p w:rsidR="002A1D51" w:rsidRDefault="002A1D51" w:rsidP="002A1D51">
            <w:pPr>
              <w:jc w:val="center"/>
              <w:rPr>
                <w:lang w:val="fr-CA"/>
              </w:rPr>
            </w:pPr>
            <m:oMathPara>
              <m:oMath>
                <m:r>
                  <w:rPr>
                    <w:rFonts w:ascii="Cambria Math" w:hAnsi="Cambria Math"/>
                    <w:lang w:val="fr-CA"/>
                  </w:rPr>
                  <m:t>J=</m:t>
                </m:r>
                <m:f>
                  <m:fPr>
                    <m:ctrlPr>
                      <w:rPr>
                        <w:rFonts w:ascii="Cambria Math" w:hAnsi="Cambria Math"/>
                        <w:i/>
                        <w:lang w:val="fr-CA"/>
                      </w:rPr>
                    </m:ctrlPr>
                  </m:fPr>
                  <m:num>
                    <m:r>
                      <w:rPr>
                        <w:rFonts w:ascii="Cambria Math" w:hAnsi="Cambria Math"/>
                        <w:lang w:val="fr-CA"/>
                      </w:rPr>
                      <m:t>1</m:t>
                    </m:r>
                  </m:num>
                  <m:den>
                    <m:r>
                      <w:rPr>
                        <w:rFonts w:ascii="Cambria Math" w:hAnsi="Cambria Math"/>
                        <w:lang w:val="fr-CA"/>
                      </w:rPr>
                      <m:t>2</m:t>
                    </m:r>
                  </m:den>
                </m:f>
                <m:sSup>
                  <m:sSupPr>
                    <m:ctrlPr>
                      <w:rPr>
                        <w:rFonts w:ascii="Cambria Math" w:hAnsi="Cambria Math"/>
                        <w:i/>
                        <w:lang w:val="fr-CA"/>
                      </w:rPr>
                    </m:ctrlPr>
                  </m:sSupPr>
                  <m:e>
                    <m:d>
                      <m:dPr>
                        <m:ctrlPr>
                          <w:rPr>
                            <w:rFonts w:ascii="Cambria Math" w:hAnsi="Cambria Math"/>
                            <w:i/>
                            <w:lang w:val="fr-CA"/>
                          </w:rPr>
                        </m:ctrlPr>
                      </m:dPr>
                      <m:e>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obs</m:t>
                            </m:r>
                          </m:sub>
                        </m:sSub>
                        <m:r>
                          <w:rPr>
                            <w:rFonts w:ascii="Cambria Math" w:hAnsi="Cambria Math"/>
                            <w:lang w:val="fr-CA"/>
                          </w:rPr>
                          <m:t>-</m:t>
                        </m:r>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mod</m:t>
                            </m:r>
                          </m:sub>
                        </m:sSub>
                      </m:e>
                    </m:d>
                  </m:e>
                  <m:sup>
                    <m:r>
                      <w:rPr>
                        <w:rFonts w:ascii="Cambria Math" w:hAnsi="Cambria Math"/>
                        <w:lang w:val="fr-CA"/>
                      </w:rPr>
                      <m:t>T</m:t>
                    </m:r>
                  </m:sup>
                </m:sSup>
                <m:d>
                  <m:dPr>
                    <m:ctrlPr>
                      <w:rPr>
                        <w:rFonts w:ascii="Cambria Math" w:hAnsi="Cambria Math"/>
                        <w:i/>
                        <w:lang w:val="fr-CA"/>
                      </w:rPr>
                    </m:ctrlPr>
                  </m:dPr>
                  <m:e>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obs</m:t>
                        </m:r>
                      </m:sub>
                    </m:sSub>
                    <m:r>
                      <w:rPr>
                        <w:rFonts w:ascii="Cambria Math" w:hAnsi="Cambria Math"/>
                        <w:lang w:val="fr-CA"/>
                      </w:rPr>
                      <m:t>-</m:t>
                    </m:r>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mod</m:t>
                        </m:r>
                      </m:sub>
                    </m:sSub>
                  </m:e>
                </m:d>
                <m:r>
                  <w:rPr>
                    <w:rFonts w:ascii="Cambria Math" w:hAnsi="Cambria Math"/>
                    <w:lang w:val="fr-CA"/>
                  </w:rPr>
                  <m:t>,</m:t>
                </m:r>
              </m:oMath>
            </m:oMathPara>
          </w:p>
        </w:tc>
        <w:tc>
          <w:tcPr>
            <w:tcW w:w="651" w:type="dxa"/>
            <w:vAlign w:val="center"/>
          </w:tcPr>
          <w:p w:rsidR="002A1D51" w:rsidRDefault="002A1D51" w:rsidP="002A1D51">
            <w:pPr>
              <w:jc w:val="center"/>
              <w:rPr>
                <w:lang w:val="fr-CA"/>
              </w:rPr>
            </w:pPr>
            <w:r>
              <w:rPr>
                <w:lang w:val="fr-CA"/>
              </w:rPr>
              <w:t>(1)</w:t>
            </w:r>
          </w:p>
        </w:tc>
      </w:tr>
    </w:tbl>
    <w:p w:rsidR="0073115D" w:rsidRDefault="0073115D" w:rsidP="00BE212C">
      <w:pPr>
        <w:rPr>
          <w:lang w:val="fr-CA"/>
        </w:rPr>
      </w:pPr>
    </w:p>
    <w:p w:rsidR="0073115D" w:rsidRDefault="0073115D" w:rsidP="00BE212C">
      <w:pPr>
        <w:rPr>
          <w:lang w:val="fr-CA"/>
        </w:rPr>
      </w:pPr>
      <w:r>
        <w:rPr>
          <w:lang w:val="fr-CA"/>
        </w:rPr>
        <w:t xml:space="preserve">où </w:t>
      </w:r>
      <m:oMath>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obs</m:t>
            </m:r>
          </m:sub>
        </m:sSub>
      </m:oMath>
      <w:r>
        <w:rPr>
          <w:lang w:val="fr-CA"/>
        </w:rPr>
        <w:t xml:space="preserve"> et </w:t>
      </w:r>
      <m:oMath>
        <m:sSub>
          <m:sSubPr>
            <m:ctrlPr>
              <w:rPr>
                <w:rFonts w:ascii="Cambria Math" w:hAnsi="Cambria Math"/>
                <w:i/>
                <w:lang w:val="fr-CA"/>
              </w:rPr>
            </m:ctrlPr>
          </m:sSubPr>
          <m:e>
            <m:r>
              <m:rPr>
                <m:sty m:val="bi"/>
              </m:rPr>
              <w:rPr>
                <w:rFonts w:ascii="Cambria Math" w:hAnsi="Cambria Math"/>
                <w:lang w:val="fr-CA"/>
              </w:rPr>
              <m:t>d</m:t>
            </m:r>
          </m:e>
          <m:sub>
            <m:r>
              <w:rPr>
                <w:rFonts w:ascii="Cambria Math" w:hAnsi="Cambria Math"/>
                <w:lang w:val="fr-CA"/>
              </w:rPr>
              <m:t>mod</m:t>
            </m:r>
          </m:sub>
        </m:sSub>
      </m:oMath>
      <w:r>
        <w:rPr>
          <w:lang w:val="fr-CA"/>
        </w:rPr>
        <w:t xml:space="preserve"> sont les traces sismiques observées et modélisées, respectivement. Afin de calculer les données modélisées, l’équation d’onde doit être résolue numériquement. Dans le cas viscoélastique isotrope, celle-ci prend la forme de :</w:t>
      </w:r>
    </w:p>
    <w:p w:rsidR="002A1D51" w:rsidRDefault="002A1D51" w:rsidP="00BE212C">
      <w:pPr>
        <w:rPr>
          <w:lang w:val="fr-CA"/>
        </w:rPr>
      </w:pP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651"/>
      </w:tblGrid>
      <w:tr w:rsidR="002A1D51" w:rsidTr="002A1D51">
        <w:tc>
          <w:tcPr>
            <w:tcW w:w="8359" w:type="dxa"/>
            <w:vAlign w:val="center"/>
          </w:tcPr>
          <w:p w:rsidR="002A1D51" w:rsidRDefault="00407EF2" w:rsidP="00172AA6">
            <w:pPr>
              <w:jc w:val="center"/>
              <w:rPr>
                <w:lang w:val="fr-CA"/>
              </w:rPr>
            </w:pPr>
            <m:oMathPara>
              <m:oMath>
                <m:m>
                  <m:mPr>
                    <m:mcs>
                      <m:mc>
                        <m:mcPr>
                          <m:count m:val="1"/>
                          <m:mcJc m:val="center"/>
                        </m:mcPr>
                      </m:mc>
                    </m:mcs>
                    <m:ctrlPr>
                      <w:rPr>
                        <w:rFonts w:ascii="Cambria Math" w:hAnsi="Cambria Math"/>
                        <w:i/>
                        <w:sz w:val="24"/>
                        <w:lang w:val="fr-CA"/>
                      </w:rPr>
                    </m:ctrlPr>
                  </m:mPr>
                  <m:mr>
                    <m:e>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t</m:t>
                          </m:r>
                        </m:sub>
                      </m:sSub>
                      <m:sSub>
                        <m:sSubPr>
                          <m:ctrlPr>
                            <w:rPr>
                              <w:rFonts w:ascii="Cambria Math" w:hAnsi="Cambria Math"/>
                              <w:i/>
                              <w:lang w:val="fr-CA"/>
                            </w:rPr>
                          </m:ctrlPr>
                        </m:sSubPr>
                        <m:e>
                          <m:r>
                            <w:rPr>
                              <w:rFonts w:ascii="Cambria Math" w:hAnsi="Cambria Math"/>
                              <w:lang w:val="fr-CA"/>
                            </w:rPr>
                            <m:t>v</m:t>
                          </m:r>
                        </m:e>
                        <m:sub>
                          <m:r>
                            <w:rPr>
                              <w:rFonts w:ascii="Cambria Math" w:hAnsi="Cambria Math"/>
                              <w:lang w:val="fr-CA"/>
                            </w:rPr>
                            <m:t>i</m:t>
                          </m:r>
                        </m:sub>
                      </m:sSub>
                      <m:r>
                        <w:rPr>
                          <w:rFonts w:ascii="Cambria Math" w:hAnsi="Cambria Math"/>
                          <w:lang w:val="en-US"/>
                        </w:rPr>
                        <m:t>-</m:t>
                      </m:r>
                      <m:f>
                        <m:fPr>
                          <m:ctrlPr>
                            <w:rPr>
                              <w:rFonts w:ascii="Cambria Math" w:hAnsi="Cambria Math"/>
                              <w:i/>
                              <w:lang w:val="fr-CA"/>
                            </w:rPr>
                          </m:ctrlPr>
                        </m:fPr>
                        <m:num>
                          <m:r>
                            <w:rPr>
                              <w:rFonts w:ascii="Cambria Math" w:hAnsi="Cambria Math"/>
                              <w:lang w:val="en-US"/>
                            </w:rPr>
                            <m:t>1</m:t>
                          </m:r>
                        </m:num>
                        <m:den>
                          <m:r>
                            <w:rPr>
                              <w:rFonts w:ascii="Cambria Math" w:hAnsi="Cambria Math"/>
                              <w:lang w:val="fr-CA"/>
                            </w:rPr>
                            <m:t>ρ</m:t>
                          </m:r>
                        </m:den>
                      </m:f>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j</m:t>
                          </m:r>
                        </m:sub>
                      </m:sSub>
                      <m:sSub>
                        <m:sSubPr>
                          <m:ctrlPr>
                            <w:rPr>
                              <w:rFonts w:ascii="Cambria Math" w:hAnsi="Cambria Math"/>
                              <w:i/>
                              <w:lang w:val="fr-CA"/>
                            </w:rPr>
                          </m:ctrlPr>
                        </m:sSubPr>
                        <m:e>
                          <m:r>
                            <w:rPr>
                              <w:rFonts w:ascii="Cambria Math" w:hAnsi="Cambria Math"/>
                              <w:lang w:val="fr-CA"/>
                            </w:rPr>
                            <m:t>σ</m:t>
                          </m:r>
                        </m:e>
                        <m:sub>
                          <m:r>
                            <w:rPr>
                              <w:rFonts w:ascii="Cambria Math" w:hAnsi="Cambria Math"/>
                              <w:lang w:val="fr-CA"/>
                            </w:rPr>
                            <m:t>ij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=0,</m:t>
                      </m:r>
                    </m:e>
                  </m:mr>
                  <m:mr>
                    <m:e>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t</m:t>
                          </m:r>
                        </m:sub>
                      </m:sSub>
                      <m:sSub>
                        <m:sSubPr>
                          <m:ctrlPr>
                            <w:rPr>
                              <w:rFonts w:ascii="Cambria Math" w:hAnsi="Cambria Math"/>
                              <w:i/>
                              <w:lang w:val="fr-CA"/>
                            </w:rPr>
                          </m:ctrlPr>
                        </m:sSubPr>
                        <m:e>
                          <m:r>
                            <w:rPr>
                              <w:rFonts w:ascii="Cambria Math" w:hAnsi="Cambria Math"/>
                              <w:lang w:val="fr-CA"/>
                            </w:rPr>
                            <m:t>σ</m:t>
                          </m:r>
                        </m:e>
                        <m:sub>
                          <m:r>
                            <w:rPr>
                              <w:rFonts w:ascii="Cambria Math" w:hAnsi="Cambria Math"/>
                              <w:lang w:val="fr-CA"/>
                            </w:rPr>
                            <m:t>ij</m:t>
                          </m:r>
                        </m:sub>
                      </m:sSub>
                      <m:r>
                        <w:rPr>
                          <w:rFonts w:ascii="Cambria Math" w:hAnsi="Cambria Math"/>
                          <w:lang w:val="en-US"/>
                        </w:rPr>
                        <m:t>-</m:t>
                      </m:r>
                      <m:sSub>
                        <m:sSubPr>
                          <m:ctrlPr>
                            <w:rPr>
                              <w:rFonts w:ascii="Cambria Math" w:hAnsi="Cambria Math"/>
                              <w:i/>
                              <w:lang w:val="fr-CA"/>
                            </w:rPr>
                          </m:ctrlPr>
                        </m:sSubPr>
                        <m:e>
                          <m:r>
                            <w:rPr>
                              <w:rFonts w:ascii="Cambria Math" w:hAnsi="Cambria Math"/>
                              <w:lang w:val="fr-CA"/>
                            </w:rPr>
                            <m:t>λ</m:t>
                          </m:r>
                          <m:ctrlPr>
                            <w:rPr>
                              <w:rFonts w:ascii="Cambria Math" w:hAnsi="Cambria Math"/>
                              <w:i/>
                              <w:lang w:val="en-US"/>
                            </w:rPr>
                          </m:ctrlPr>
                        </m:e>
                        <m:sub>
                          <m:r>
                            <w:rPr>
                              <w:rFonts w:ascii="Cambria Math" w:hAnsi="Cambria Math"/>
                              <w:lang w:val="fr-CA"/>
                            </w:rPr>
                            <m:t>0</m:t>
                          </m:r>
                        </m:sub>
                      </m:sSub>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k</m:t>
                          </m:r>
                        </m:sub>
                      </m:sSub>
                      <m:sSub>
                        <m:sSubPr>
                          <m:ctrlPr>
                            <w:rPr>
                              <w:rFonts w:ascii="Cambria Math" w:hAnsi="Cambria Math"/>
                              <w:i/>
                              <w:lang w:val="fr-CA"/>
                            </w:rPr>
                          </m:ctrlPr>
                        </m:sSubPr>
                        <m:e>
                          <m:r>
                            <w:rPr>
                              <w:rFonts w:ascii="Cambria Math" w:hAnsi="Cambria Math"/>
                              <w:lang w:val="fr-CA"/>
                            </w:rPr>
                            <m:t>v</m:t>
                          </m:r>
                        </m:e>
                        <m:sub>
                          <m:r>
                            <w:rPr>
                              <w:rFonts w:ascii="Cambria Math" w:hAnsi="Cambria Math"/>
                              <w:lang w:val="fr-CA"/>
                            </w:rPr>
                            <m:t>k</m:t>
                          </m:r>
                        </m:sub>
                      </m:sSub>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ij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j</m:t>
                              </m:r>
                            </m:sub>
                          </m:sSub>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i</m:t>
                              </m:r>
                            </m:sub>
                          </m:sSub>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j</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ijl</m:t>
                          </m:r>
                        </m:sub>
                      </m:sSub>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l</m:t>
                          </m:r>
                        </m:sub>
                      </m:sSub>
                      <m:r>
                        <w:rPr>
                          <w:rFonts w:ascii="Cambria Math" w:hAnsi="Cambria Math"/>
                          <w:lang w:val="en-US"/>
                        </w:rPr>
                        <m:t>=0,</m:t>
                      </m:r>
                    </m:e>
                  </m:mr>
                  <m:mr>
                    <m:e>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t</m:t>
                          </m:r>
                        </m:sub>
                      </m:sSub>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ijl</m:t>
                          </m:r>
                        </m:sub>
                      </m:sSub>
                      <m:r>
                        <w:rPr>
                          <w:rFonts w:ascii="Cambria Math" w:hAnsi="Cambria Math"/>
                          <w:lang w:val="en-US"/>
                        </w:rPr>
                        <m:t>+</m:t>
                      </m:r>
                      <m:f>
                        <m:fPr>
                          <m:ctrlPr>
                            <w:rPr>
                              <w:rFonts w:ascii="Cambria Math" w:hAnsi="Cambria Math"/>
                              <w:i/>
                              <w:lang w:val="fr-CA"/>
                            </w:rPr>
                          </m:ctrlPr>
                        </m:fPr>
                        <m:num>
                          <m:r>
                            <w:rPr>
                              <w:rFonts w:ascii="Cambria Math" w:hAnsi="Cambria Math"/>
                              <w:lang w:val="fr-CA"/>
                            </w:rPr>
                            <m:t>1</m:t>
                          </m:r>
                        </m:num>
                        <m:den>
                          <m:sSub>
                            <m:sSubPr>
                              <m:ctrlPr>
                                <w:rPr>
                                  <w:rFonts w:ascii="Cambria Math" w:hAnsi="Cambria Math"/>
                                  <w:i/>
                                  <w:lang w:val="fr-CA"/>
                                </w:rPr>
                              </m:ctrlPr>
                            </m:sSubPr>
                            <m:e>
                              <m:r>
                                <w:rPr>
                                  <w:rFonts w:ascii="Cambria Math" w:hAnsi="Cambria Math"/>
                                  <w:lang w:val="fr-CA"/>
                                </w:rPr>
                                <m:t>τ</m:t>
                              </m:r>
                            </m:e>
                            <m:sub>
                              <m:r>
                                <w:rPr>
                                  <w:rFonts w:ascii="Cambria Math" w:hAnsi="Cambria Math"/>
                                  <w:lang w:val="fr-CA"/>
                                </w:rPr>
                                <m:t>σl</m:t>
                              </m:r>
                            </m:sub>
                          </m:sSub>
                        </m:den>
                      </m:f>
                      <m:d>
                        <m:dPr>
                          <m:ctrlPr>
                            <w:rPr>
                              <w:rFonts w:ascii="Cambria Math" w:hAnsi="Cambria Math"/>
                              <w:i/>
                              <w:lang w:val="fr-CA"/>
                            </w:rPr>
                          </m:ctrlPr>
                        </m:dPr>
                        <m:e>
                          <m:r>
                            <w:rPr>
                              <w:rFonts w:ascii="Cambria Math" w:hAnsi="Cambria Math"/>
                              <w:lang w:val="fr-CA"/>
                            </w:rPr>
                            <m:t xml:space="preserve"> </m:t>
                          </m:r>
                          <m:sSub>
                            <m:sSubPr>
                              <m:ctrlPr>
                                <w:rPr>
                                  <w:rFonts w:ascii="Cambria Math" w:hAnsi="Cambria Math"/>
                                  <w:i/>
                                  <w:lang w:val="fr-CA"/>
                                </w:rPr>
                              </m:ctrlPr>
                            </m:sSubPr>
                            <m:e>
                              <m:r>
                                <w:rPr>
                                  <w:rFonts w:ascii="Cambria Math" w:hAnsi="Cambria Math"/>
                                  <w:lang w:val="fr-CA"/>
                                </w:rPr>
                                <m:t>λ</m:t>
                              </m:r>
                            </m:e>
                            <m:sub>
                              <m:r>
                                <w:rPr>
                                  <w:rFonts w:ascii="Cambria Math" w:hAnsi="Cambria Math"/>
                                  <w:lang w:val="fr-CA"/>
                                </w:rPr>
                                <m:t>l</m:t>
                              </m:r>
                            </m:sub>
                          </m:sSub>
                          <m:sSub>
                            <m:sSubPr>
                              <m:ctrlPr>
                                <w:rPr>
                                  <w:rFonts w:ascii="Cambria Math" w:hAnsi="Cambria Math"/>
                                  <w:i/>
                                  <w:lang w:val="fr-CA"/>
                                </w:rPr>
                              </m:ctrlPr>
                            </m:sSubPr>
                            <m:e>
                              <m:r>
                                <w:rPr>
                                  <w:rFonts w:ascii="Cambria Math" w:hAnsi="Cambria Math"/>
                                  <w:lang w:val="fr-CA"/>
                                </w:rPr>
                                <m:t>∂</m:t>
                              </m:r>
                            </m:e>
                            <m:sub>
                              <m:r>
                                <w:rPr>
                                  <w:rFonts w:ascii="Cambria Math" w:hAnsi="Cambria Math"/>
                                  <w:lang w:val="fr-CA"/>
                                </w:rPr>
                                <m:t>k</m:t>
                              </m:r>
                            </m:sub>
                          </m:sSub>
                          <m:sSub>
                            <m:sSubPr>
                              <m:ctrlPr>
                                <w:rPr>
                                  <w:rFonts w:ascii="Cambria Math" w:hAnsi="Cambria Math"/>
                                  <w:i/>
                                  <w:lang w:val="fr-CA"/>
                                </w:rPr>
                              </m:ctrlPr>
                            </m:sSubPr>
                            <m:e>
                              <m:r>
                                <w:rPr>
                                  <w:rFonts w:ascii="Cambria Math" w:hAnsi="Cambria Math"/>
                                  <w:lang w:val="fr-CA"/>
                                </w:rPr>
                                <m:t>v</m:t>
                              </m:r>
                            </m:e>
                            <m:sub>
                              <m:r>
                                <w:rPr>
                                  <w:rFonts w:ascii="Cambria Math" w:hAnsi="Cambria Math"/>
                                  <w:lang w:val="fr-CA"/>
                                </w:rPr>
                                <m:t>k</m:t>
                              </m:r>
                            </m:sub>
                          </m:sSub>
                          <m:sSub>
                            <m:sSubPr>
                              <m:ctrlPr>
                                <w:rPr>
                                  <w:rFonts w:ascii="Cambria Math" w:hAnsi="Cambria Math"/>
                                  <w:i/>
                                  <w:lang w:val="en-US"/>
                                </w:rPr>
                              </m:ctrlPr>
                            </m:sSubPr>
                            <m:e>
                              <m:r>
                                <w:rPr>
                                  <w:rFonts w:ascii="Cambria Math" w:hAnsi="Cambria Math"/>
                                  <w:lang w:val="en-US"/>
                                </w:rPr>
                                <m:t>δ</m:t>
                              </m:r>
                            </m:e>
                            <m:sub>
                              <m:r>
                                <w:rPr>
                                  <w:rFonts w:ascii="Cambria Math" w:hAnsi="Cambria Math"/>
                                  <w:lang w:val="en-US"/>
                                </w:rPr>
                                <m:t>ij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l</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j</m:t>
                                  </m:r>
                                </m:sub>
                              </m:sSub>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i</m:t>
                                  </m:r>
                                </m:sub>
                              </m:sSub>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j</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ijl</m:t>
                              </m:r>
                            </m:sub>
                          </m:sSub>
                          <m:ctrlPr>
                            <w:rPr>
                              <w:rFonts w:ascii="Cambria Math" w:hAnsi="Cambria Math"/>
                              <w:i/>
                              <w:lang w:val="en-US"/>
                            </w:rPr>
                          </m:ctrlPr>
                        </m:e>
                      </m:d>
                      <m:r>
                        <w:rPr>
                          <w:rFonts w:ascii="Cambria Math" w:hAnsi="Cambria Math"/>
                          <w:lang w:val="en-US"/>
                        </w:rPr>
                        <m:t>=0.</m:t>
                      </m:r>
                    </m:e>
                  </m:mr>
                </m:m>
              </m:oMath>
            </m:oMathPara>
          </w:p>
        </w:tc>
        <w:tc>
          <w:tcPr>
            <w:tcW w:w="651" w:type="dxa"/>
            <w:vAlign w:val="center"/>
          </w:tcPr>
          <w:p w:rsidR="002A1D51" w:rsidRDefault="002A1D51" w:rsidP="00172AA6">
            <w:pPr>
              <w:jc w:val="center"/>
              <w:rPr>
                <w:lang w:val="fr-CA"/>
              </w:rPr>
            </w:pPr>
            <w:r>
              <w:rPr>
                <w:lang w:val="fr-CA"/>
              </w:rPr>
              <w:t>(2)</w:t>
            </w:r>
          </w:p>
        </w:tc>
      </w:tr>
    </w:tbl>
    <w:p w:rsidR="002F6011" w:rsidRDefault="002F6011" w:rsidP="00BE212C">
      <w:pPr>
        <w:rPr>
          <w:lang w:val="fr-CA"/>
        </w:rPr>
      </w:pPr>
    </w:p>
    <w:p w:rsidR="002F6011" w:rsidRDefault="002F6011" w:rsidP="00BE212C">
      <w:pPr>
        <w:rPr>
          <w:lang w:val="fr-CA"/>
        </w:rPr>
      </w:pPr>
      <w:r>
        <w:rPr>
          <w:lang w:val="fr-CA"/>
        </w:rPr>
        <w:t xml:space="preserve">Ici, </w:t>
      </w:r>
      <m:oMath>
        <m:sSub>
          <m:sSubPr>
            <m:ctrlPr>
              <w:rPr>
                <w:rFonts w:ascii="Cambria Math" w:hAnsi="Cambria Math"/>
                <w:i/>
                <w:lang w:val="fr-CA"/>
              </w:rPr>
            </m:ctrlPr>
          </m:sSubPr>
          <m:e>
            <m:r>
              <w:rPr>
                <w:rFonts w:ascii="Cambria Math" w:hAnsi="Cambria Math"/>
                <w:lang w:val="fr-CA"/>
              </w:rPr>
              <m:t>v</m:t>
            </m:r>
          </m:e>
          <m:sub>
            <m:r>
              <w:rPr>
                <w:rFonts w:ascii="Cambria Math" w:hAnsi="Cambria Math"/>
                <w:lang w:val="fr-CA"/>
              </w:rPr>
              <m:t>i</m:t>
            </m:r>
          </m:sub>
        </m:sSub>
      </m:oMath>
      <w:r>
        <w:rPr>
          <w:lang w:val="fr-CA"/>
        </w:rPr>
        <w:t xml:space="preserve"> est la vitesse des particules dans la direction </w:t>
      </w:r>
      <m:oMath>
        <m:r>
          <w:rPr>
            <w:rFonts w:ascii="Cambria Math" w:hAnsi="Cambria Math"/>
            <w:lang w:val="fr-CA"/>
          </w:rPr>
          <m:t>i</m:t>
        </m:r>
      </m:oMath>
      <w:r>
        <w:rPr>
          <w:lang w:val="fr-CA"/>
        </w:rPr>
        <w:t xml:space="preserve"> (ce qui est mesuré par les géophones), </w:t>
      </w:r>
      <m:oMath>
        <m:sSub>
          <m:sSubPr>
            <m:ctrlPr>
              <w:rPr>
                <w:rFonts w:ascii="Cambria Math" w:hAnsi="Cambria Math"/>
                <w:i/>
                <w:lang w:val="fr-CA"/>
              </w:rPr>
            </m:ctrlPr>
          </m:sSubPr>
          <m:e>
            <m:r>
              <w:rPr>
                <w:rFonts w:ascii="Cambria Math" w:hAnsi="Cambria Math"/>
                <w:lang w:val="fr-CA"/>
              </w:rPr>
              <m:t>σ</m:t>
            </m:r>
          </m:e>
          <m:sub>
            <m:r>
              <w:rPr>
                <w:rFonts w:ascii="Cambria Math" w:hAnsi="Cambria Math"/>
                <w:lang w:val="fr-CA"/>
              </w:rPr>
              <m:t>ij</m:t>
            </m:r>
          </m:sub>
        </m:sSub>
      </m:oMath>
      <w:r>
        <w:rPr>
          <w:lang w:val="fr-CA"/>
        </w:rPr>
        <w:t xml:space="preserve"> représentent les contraintes et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ijl</m:t>
            </m:r>
          </m:sub>
        </m:sSub>
      </m:oMath>
      <w:r w:rsidRPr="002F6011">
        <w:rPr>
          <w:lang w:val="fr-CA"/>
        </w:rPr>
        <w:t xml:space="preserve"> </w:t>
      </w:r>
      <w:r>
        <w:rPr>
          <w:lang w:val="fr-CA"/>
        </w:rPr>
        <w:t xml:space="preserve">sont des variables de mémoires nécessaires pour induire l’atténuation viscoélastique. L’inversion permet de retrouver les paramètres mécaniques des sols, soit la densité </w:t>
      </w:r>
      <m:oMath>
        <m:r>
          <w:rPr>
            <w:rFonts w:ascii="Cambria Math" w:hAnsi="Cambria Math"/>
            <w:lang w:val="fr-CA"/>
          </w:rPr>
          <m:t>ρ</m:t>
        </m:r>
      </m:oMath>
      <w:r>
        <w:rPr>
          <w:lang w:val="fr-CA"/>
        </w:rPr>
        <w:t xml:space="preserve">, les paramètres de Lamé élastiques </w:t>
      </w:r>
      <m:oMath>
        <m:sSub>
          <m:sSubPr>
            <m:ctrlPr>
              <w:rPr>
                <w:rFonts w:ascii="Cambria Math" w:hAnsi="Cambria Math"/>
                <w:i/>
                <w:lang w:val="fr-CA"/>
              </w:rPr>
            </m:ctrlPr>
          </m:sSubPr>
          <m:e>
            <m:r>
              <w:rPr>
                <w:rFonts w:ascii="Cambria Math" w:hAnsi="Cambria Math"/>
                <w:lang w:val="fr-CA"/>
              </w:rPr>
              <m:t>λ</m:t>
            </m:r>
            <m:ctrlPr>
              <w:rPr>
                <w:rFonts w:ascii="Cambria Math" w:hAnsi="Cambria Math"/>
                <w:i/>
                <w:lang w:val="en-US"/>
              </w:rPr>
            </m:ctrlPr>
          </m:e>
          <m:sub>
            <m:r>
              <w:rPr>
                <w:rFonts w:ascii="Cambria Math" w:hAnsi="Cambria Math"/>
                <w:lang w:val="fr-CA"/>
              </w:rPr>
              <m:t>0</m:t>
            </m:r>
          </m:sub>
        </m:sSub>
      </m:oMath>
      <w:r>
        <w:rPr>
          <w:lang w:val="fr-CA"/>
        </w:rPr>
        <w:t xml:space="preserve"> et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fr-CA"/>
              </w:rPr>
              <m:t>0</m:t>
            </m:r>
          </m:sub>
        </m:sSub>
      </m:oMath>
      <w:r w:rsidRPr="002F6011">
        <w:rPr>
          <w:lang w:val="fr-CA"/>
        </w:rPr>
        <w:t>, reli</w:t>
      </w:r>
      <w:r w:rsidR="00213B88">
        <w:rPr>
          <w:lang w:val="fr-CA"/>
        </w:rPr>
        <w:t>é</w:t>
      </w:r>
      <w:r w:rsidRPr="002F6011">
        <w:rPr>
          <w:lang w:val="fr-CA"/>
        </w:rPr>
        <w:t xml:space="preserve">s aux modules élastiques et </w:t>
      </w:r>
      <w:r w:rsidR="00213B88">
        <w:rPr>
          <w:lang w:val="fr-CA"/>
        </w:rPr>
        <w:t xml:space="preserve">aux </w:t>
      </w:r>
      <w:r w:rsidRPr="002F6011">
        <w:rPr>
          <w:lang w:val="fr-CA"/>
        </w:rPr>
        <w:t>vitesses sismiques</w:t>
      </w:r>
      <w:r>
        <w:rPr>
          <w:lang w:val="fr-CA"/>
        </w:rPr>
        <w:t>, et enfin les paramètres de Lamé viscoélastique</w:t>
      </w:r>
      <w:r w:rsidR="00213B88">
        <w:rPr>
          <w:lang w:val="fr-CA"/>
        </w:rPr>
        <w:t>s</w:t>
      </w:r>
      <w:r>
        <w:rPr>
          <w:lang w:val="fr-CA"/>
        </w:rPr>
        <w:t xml:space="preserve"> </w:t>
      </w:r>
      <m:oMath>
        <m:sSub>
          <m:sSubPr>
            <m:ctrlPr>
              <w:rPr>
                <w:rFonts w:ascii="Cambria Math" w:hAnsi="Cambria Math"/>
                <w:i/>
                <w:lang w:val="fr-CA"/>
              </w:rPr>
            </m:ctrlPr>
          </m:sSubPr>
          <m:e>
            <m:r>
              <w:rPr>
                <w:rFonts w:ascii="Cambria Math" w:hAnsi="Cambria Math"/>
                <w:lang w:val="fr-CA"/>
              </w:rPr>
              <m:t>λ</m:t>
            </m:r>
            <m:ctrlPr>
              <w:rPr>
                <w:rFonts w:ascii="Cambria Math" w:hAnsi="Cambria Math"/>
                <w:i/>
                <w:lang w:val="en-US"/>
              </w:rPr>
            </m:ctrlPr>
          </m:e>
          <m:sub>
            <m:r>
              <w:rPr>
                <w:rFonts w:ascii="Cambria Math" w:hAnsi="Cambria Math"/>
                <w:lang w:val="fr-CA"/>
              </w:rPr>
              <m:t>l</m:t>
            </m:r>
          </m:sub>
        </m:sSub>
      </m:oMath>
      <w:r>
        <w:rPr>
          <w:lang w:val="fr-CA"/>
        </w:rPr>
        <w:t xml:space="preserve"> et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fr-CA"/>
              </w:rPr>
              <m:t>l</m:t>
            </m:r>
          </m:sub>
        </m:sSub>
      </m:oMath>
      <w:r w:rsidRPr="002F6011">
        <w:rPr>
          <w:lang w:val="fr-CA"/>
        </w:rPr>
        <w:t xml:space="preserve"> qui </w:t>
      </w:r>
      <w:r>
        <w:rPr>
          <w:lang w:val="fr-CA"/>
        </w:rPr>
        <w:t xml:space="preserve">permettent de retrouver les facteurs de qualité </w:t>
      </w:r>
      <m:oMath>
        <m:r>
          <w:rPr>
            <w:rFonts w:ascii="Cambria Math" w:hAnsi="Cambria Math"/>
            <w:lang w:val="fr-CA"/>
          </w:rPr>
          <m:t>Q</m:t>
        </m:r>
      </m:oMath>
      <w:r>
        <w:rPr>
          <w:lang w:val="fr-CA"/>
        </w:rPr>
        <w:t xml:space="preserve"> ou l’atténuation </w:t>
      </w:r>
      <m:oMath>
        <m:sSup>
          <m:sSupPr>
            <m:ctrlPr>
              <w:rPr>
                <w:rFonts w:ascii="Cambria Math" w:hAnsi="Cambria Math"/>
                <w:i/>
                <w:lang w:val="fr-CA"/>
              </w:rPr>
            </m:ctrlPr>
          </m:sSupPr>
          <m:e>
            <m:r>
              <w:rPr>
                <w:rFonts w:ascii="Cambria Math" w:hAnsi="Cambria Math"/>
                <w:lang w:val="fr-CA"/>
              </w:rPr>
              <m:t>Q</m:t>
            </m:r>
          </m:e>
          <m:sup>
            <m:r>
              <w:rPr>
                <w:rFonts w:ascii="Cambria Math" w:hAnsi="Cambria Math"/>
                <w:lang w:val="fr-CA"/>
              </w:rPr>
              <m:t>-1</m:t>
            </m:r>
          </m:sup>
        </m:sSup>
      </m:oMath>
      <w:r>
        <w:rPr>
          <w:lang w:val="fr-CA"/>
        </w:rPr>
        <w:t xml:space="preserve">. </w:t>
      </w:r>
      <w:r w:rsidR="00FB1087">
        <w:rPr>
          <w:lang w:val="fr-CA"/>
        </w:rPr>
        <w:t>La solution pour des distributions spatiales arbitraires des paramètres mécaniques peut être obtenue efficacement par différences</w:t>
      </w:r>
      <w:r w:rsidR="00C56691">
        <w:rPr>
          <w:lang w:val="fr-CA"/>
        </w:rPr>
        <w:t xml:space="preserve"> </w:t>
      </w:r>
      <w:r w:rsidR="00FB1087">
        <w:rPr>
          <w:lang w:val="fr-CA"/>
        </w:rPr>
        <w:t xml:space="preserve">finies </w:t>
      </w:r>
      <w:r w:rsidR="00FB1087">
        <w:rPr>
          <w:lang w:val="fr-CA"/>
        </w:rPr>
        <w:fldChar w:fldCharType="begin"/>
      </w:r>
      <w:r w:rsidR="00CF2B5A">
        <w:rPr>
          <w:lang w:val="fr-CA"/>
        </w:rPr>
        <w:instrText xml:space="preserve"> ADDIN EN.CITE &lt;EndNote&gt;&lt;Cite&gt;&lt;Author&gt;Fabien-Ouellet&lt;/Author&gt;&lt;Year&gt;2017&lt;/Year&gt;&lt;RecNum&gt;630&lt;/RecNum&gt;&lt;DisplayText&gt;(Fabien-Ouellet et al., 2017b)&lt;/DisplayText&gt;&lt;record&gt;&lt;rec-number&gt;630&lt;/rec-number&gt;&lt;foreign-keys&gt;&lt;key app="EN" db-id="ppsd5par292dz4eep2cva0rnspeddaft5e2t" timestamp="1482863262" guid="8a992cc4-9248-4176-8b46-48ab954b4fd0"&gt;630&lt;/key&gt;&lt;/foreign-keys&gt;&lt;ref-type name="Journal Article"&gt;17&lt;/ref-type&gt;&lt;contributors&gt;&lt;authors&gt;&lt;author&gt;Fabien-Ouellet, Gabriel&lt;/author&gt;&lt;author&gt;Gloaguen, Erwan&lt;/author&gt;&lt;author&gt;Giroux, Bernard&lt;/author&gt;&lt;/authors&gt;&lt;/contributors&gt;&lt;titles&gt;&lt;title&gt;Time-domain seismic modeling in viscoelastic media for full waveform inversion on heterogeneous computing platforms with OpenCL&lt;/title&gt;&lt;secondary-title&gt;Computers &amp;amp; Geosciences&lt;/secondary-title&gt;&lt;/titles&gt;&lt;periodical&gt;&lt;full-title&gt;Computers &amp;amp; Geosciences&lt;/full-title&gt;&lt;/periodical&gt;&lt;pages&gt;142-155&lt;/pages&gt;&lt;volume&gt;100&lt;/volume&gt;&lt;dates&gt;&lt;year&gt;2017&lt;/year&gt;&lt;/dates&gt;&lt;isbn&gt;00983004&lt;/isbn&gt;&lt;urls&gt;&lt;/urls&gt;&lt;electronic-resource-num&gt;10.1016/j.cageo.2016.12.004&lt;/electronic-resource-num&gt;&lt;/record&gt;&lt;/Cite&gt;&lt;/EndNote&gt;</w:instrText>
      </w:r>
      <w:r w:rsidR="00FB1087">
        <w:rPr>
          <w:lang w:val="fr-CA"/>
        </w:rPr>
        <w:fldChar w:fldCharType="separate"/>
      </w:r>
      <w:r w:rsidR="00CF2B5A">
        <w:rPr>
          <w:noProof/>
          <w:lang w:val="fr-CA"/>
        </w:rPr>
        <w:t>(Fabien-Ouellet et al., 2017b)</w:t>
      </w:r>
      <w:r w:rsidR="00FB1087">
        <w:rPr>
          <w:lang w:val="fr-CA"/>
        </w:rPr>
        <w:fldChar w:fldCharType="end"/>
      </w:r>
      <w:r w:rsidR="00FB1087">
        <w:rPr>
          <w:lang w:val="fr-CA"/>
        </w:rPr>
        <w:t xml:space="preserve">. </w:t>
      </w:r>
      <w:r w:rsidR="00DB643B">
        <w:rPr>
          <w:lang w:val="fr-CA"/>
        </w:rPr>
        <w:t>Ceci contraste avec le MASW et la sismique réflexion, qui reposent sur l’hypothèse d’un milieu tabulaire ou quasi tabulaire. De plus, cette approche d’inversion utilise l’entièreté de l’information contenue dans les ondes sismiques (phase, amplitude, arrivées</w:t>
      </w:r>
      <w:r w:rsidR="00213B88">
        <w:rPr>
          <w:lang w:val="fr-CA"/>
        </w:rPr>
        <w:t xml:space="preserve"> multiples</w:t>
      </w:r>
      <w:r w:rsidR="00DB643B">
        <w:rPr>
          <w:lang w:val="fr-CA"/>
        </w:rPr>
        <w:t>)</w:t>
      </w:r>
      <w:r w:rsidR="00BE0DD2">
        <w:rPr>
          <w:lang w:val="fr-CA"/>
        </w:rPr>
        <w:t>.</w:t>
      </w:r>
    </w:p>
    <w:p w:rsidR="00D2732C" w:rsidRDefault="00D2732C" w:rsidP="00BE212C">
      <w:pPr>
        <w:rPr>
          <w:lang w:val="fr-CA"/>
        </w:rPr>
      </w:pPr>
    </w:p>
    <w:p w:rsidR="00C54E36" w:rsidRDefault="00C54E36" w:rsidP="00C54E36">
      <w:pPr>
        <w:rPr>
          <w:b/>
          <w:bCs/>
          <w:lang w:val="fr-CA"/>
        </w:rPr>
      </w:pPr>
      <w:r>
        <w:rPr>
          <w:b/>
          <w:bCs/>
          <w:lang w:val="fr-CA"/>
        </w:rPr>
        <w:t>Traitement classique et limitations</w:t>
      </w:r>
    </w:p>
    <w:p w:rsidR="00F54349" w:rsidRDefault="00C54E36" w:rsidP="00BE212C">
      <w:pPr>
        <w:rPr>
          <w:lang w:val="fr-CA"/>
        </w:rPr>
      </w:pPr>
      <w:r>
        <w:rPr>
          <w:lang w:val="fr-CA"/>
        </w:rPr>
        <w:t>Quoiqu’une approche par MASW ou sismique réfraction est relativement simple et rapide par rapport à une approche telle l’IFO, l’estimation des vitesses sismiques est souvent sous-optimale. Ainsi, le traitement des ondes de surface ne prend pas en compte les autres types d’arrivées, telles les réflexions et le</w:t>
      </w:r>
      <w:r w:rsidR="00C56691">
        <w:rPr>
          <w:lang w:val="fr-CA"/>
        </w:rPr>
        <w:t>s</w:t>
      </w:r>
      <w:r>
        <w:rPr>
          <w:lang w:val="fr-CA"/>
        </w:rPr>
        <w:t xml:space="preserve"> réfractions des ondes P et S. De même, le traitement en sismique réfraction ignore tous types d’arrivées autre</w:t>
      </w:r>
      <w:r w:rsidR="00C56691">
        <w:rPr>
          <w:lang w:val="fr-CA"/>
        </w:rPr>
        <w:t>s</w:t>
      </w:r>
      <w:r>
        <w:rPr>
          <w:lang w:val="fr-CA"/>
        </w:rPr>
        <w:t xml:space="preserve"> que les premières arrivées. </w:t>
      </w:r>
      <w:r w:rsidR="00F54349">
        <w:rPr>
          <w:lang w:val="fr-CA"/>
        </w:rPr>
        <w:t>Il est certes possible d’intégrer manuellement toutes les informations obtenues de ces différentes approches de traitement pour construire un modèle cohérent</w:t>
      </w:r>
      <w:r w:rsidR="00C56691">
        <w:rPr>
          <w:lang w:val="fr-CA"/>
        </w:rPr>
        <w:t>.</w:t>
      </w:r>
      <w:r w:rsidR="00F54349">
        <w:rPr>
          <w:lang w:val="fr-CA"/>
        </w:rPr>
        <w:t xml:space="preserve"> </w:t>
      </w:r>
      <w:r w:rsidR="00C56691">
        <w:rPr>
          <w:lang w:val="fr-CA"/>
        </w:rPr>
        <w:t>O</w:t>
      </w:r>
      <w:r w:rsidR="00F54349">
        <w:rPr>
          <w:lang w:val="fr-CA"/>
        </w:rPr>
        <w:t>r</w:t>
      </w:r>
      <w:r w:rsidR="00C56691">
        <w:rPr>
          <w:lang w:val="fr-CA"/>
        </w:rPr>
        <w:t>,</w:t>
      </w:r>
      <w:r w:rsidR="00F54349">
        <w:rPr>
          <w:lang w:val="fr-CA"/>
        </w:rPr>
        <w:t xml:space="preserve"> il en demeure que </w:t>
      </w:r>
      <w:r w:rsidR="00C56691">
        <w:rPr>
          <w:lang w:val="fr-CA"/>
        </w:rPr>
        <w:t>la majorité</w:t>
      </w:r>
      <w:r w:rsidR="00F54349">
        <w:rPr>
          <w:lang w:val="fr-CA"/>
        </w:rPr>
        <w:t xml:space="preserve"> de l’information sismique ne sera pas utilisé</w:t>
      </w:r>
      <w:r w:rsidR="00C56691">
        <w:rPr>
          <w:lang w:val="fr-CA"/>
        </w:rPr>
        <w:t>e</w:t>
      </w:r>
      <w:r w:rsidR="00F54349">
        <w:rPr>
          <w:lang w:val="fr-CA"/>
        </w:rPr>
        <w:t xml:space="preserve"> par une telle approche. </w:t>
      </w:r>
    </w:p>
    <w:p w:rsidR="00F54349" w:rsidRDefault="00F54349" w:rsidP="00BE212C">
      <w:pPr>
        <w:rPr>
          <w:lang w:val="fr-CA"/>
        </w:rPr>
      </w:pPr>
    </w:p>
    <w:p w:rsidR="00935351" w:rsidRDefault="00F54349" w:rsidP="00BE212C">
      <w:pPr>
        <w:rPr>
          <w:lang w:val="fr-CA"/>
        </w:rPr>
      </w:pPr>
      <w:r>
        <w:rPr>
          <w:lang w:val="fr-CA"/>
        </w:rPr>
        <w:t xml:space="preserve">Cette problématique est bien illustrée par le levé de type MASW présenté ci-après. Le but </w:t>
      </w:r>
      <w:r w:rsidR="00BE0DD2">
        <w:rPr>
          <w:lang w:val="fr-CA"/>
        </w:rPr>
        <w:t>de ce</w:t>
      </w:r>
      <w:r>
        <w:rPr>
          <w:lang w:val="fr-CA"/>
        </w:rPr>
        <w:t xml:space="preserve"> levé sismique était d’obtenir une mesure de Vs30, soit la vitesse moyenne des 30 premiers mètres de sol, à des fins d’une étude de réponse de site sismique. L’acquisition suivait une procédure standard, avec une source active (</w:t>
      </w:r>
      <w:r w:rsidR="00635D96">
        <w:rPr>
          <w:lang w:val="fr-CA"/>
        </w:rPr>
        <w:t>masse de 8</w:t>
      </w:r>
      <w:r>
        <w:rPr>
          <w:lang w:val="fr-CA"/>
        </w:rPr>
        <w:t xml:space="preserve"> kg), des géophones verticaux basse fréquence (4.5 Hz) et un espacement des géophones de 1.5 m. Notons que ce levé comprend plusieurs points de tir et est complémenté d’un levé SH (source horizontale, géophones </w:t>
      </w:r>
      <w:r w:rsidR="0095130C">
        <w:rPr>
          <w:lang w:val="fr-CA"/>
        </w:rPr>
        <w:t>horizontaux</w:t>
      </w:r>
      <w:r>
        <w:rPr>
          <w:lang w:val="fr-CA"/>
        </w:rPr>
        <w:t xml:space="preserve">) et un levé MASW passif. Ces dernières mesures ne sont toutefois pas présentées </w:t>
      </w:r>
      <w:r w:rsidR="00635D96">
        <w:rPr>
          <w:lang w:val="fr-CA"/>
        </w:rPr>
        <w:t>ici</w:t>
      </w:r>
      <w:r>
        <w:rPr>
          <w:lang w:val="fr-CA"/>
        </w:rPr>
        <w:t>.</w:t>
      </w:r>
    </w:p>
    <w:p w:rsidR="00935351" w:rsidRDefault="00935351" w:rsidP="00BE212C">
      <w:pPr>
        <w:rPr>
          <w:lang w:val="fr-CA"/>
        </w:rPr>
      </w:pPr>
    </w:p>
    <w:p w:rsidR="00935351" w:rsidRDefault="00935351" w:rsidP="00935351">
      <w:pPr>
        <w:rPr>
          <w:lang w:val="fr-CA"/>
        </w:rPr>
      </w:pPr>
      <w:r>
        <w:rPr>
          <w:lang w:val="fr-CA"/>
        </w:rPr>
        <w:t>Un des tirs du levé est présenté à la Figure 1a</w:t>
      </w:r>
      <w:r w:rsidR="0095130C">
        <w:rPr>
          <w:lang w:val="fr-CA"/>
        </w:rPr>
        <w:t>)</w:t>
      </w:r>
      <w:r>
        <w:rPr>
          <w:lang w:val="fr-CA"/>
        </w:rPr>
        <w:t xml:space="preserve">. </w:t>
      </w:r>
      <w:r w:rsidR="00635D96">
        <w:rPr>
          <w:lang w:val="fr-CA"/>
        </w:rPr>
        <w:t>C</w:t>
      </w:r>
      <w:r>
        <w:rPr>
          <w:lang w:val="fr-CA"/>
        </w:rPr>
        <w:t>es données sont typiques des données acquises au-dessus de dépôts d’argile et de silts au Québec. On y voit des ondes de surface énergétiques, des premières arrivées des ondes P de haute fréquence (20 première</w:t>
      </w:r>
      <w:r w:rsidR="00C56691">
        <w:rPr>
          <w:lang w:val="fr-CA"/>
        </w:rPr>
        <w:t>s</w:t>
      </w:r>
      <w:r>
        <w:rPr>
          <w:lang w:val="fr-CA"/>
        </w:rPr>
        <w:t xml:space="preserve"> ms), et des réflexions des ondes SV arrivant autour de 130 ms pour un déport de 5m. Un traitement par MASW a été appliqué à ce tir. Le panneau de dispersion est montré à la Figure 1b, avec le mode fondamental pointé en rouge. Deux modèles 1D de vitesse des ondes </w:t>
      </w:r>
      <w:r w:rsidR="00635D96">
        <w:rPr>
          <w:lang w:val="fr-CA"/>
        </w:rPr>
        <w:t xml:space="preserve">S </w:t>
      </w:r>
      <w:r w:rsidR="00C56691">
        <w:rPr>
          <w:lang w:val="fr-CA"/>
        </w:rPr>
        <w:t>ont</w:t>
      </w:r>
      <w:r>
        <w:rPr>
          <w:lang w:val="fr-CA"/>
        </w:rPr>
        <w:t xml:space="preserve"> été construits, tous deux reproduisant le mode fondamental avec une erreur RMSE de moins de 1%. La principale différence entre les modèles de la Figure 1c) et 1d) est la vitesse pour des profondeurs supérieures à 12m : elle est de 410 m/s en c) et près de 1600 m/s en d). </w:t>
      </w:r>
      <w:r w:rsidR="00F54349">
        <w:rPr>
          <w:lang w:val="fr-CA"/>
        </w:rPr>
        <w:t xml:space="preserve"> </w:t>
      </w:r>
      <w:r>
        <w:rPr>
          <w:lang w:val="fr-CA"/>
        </w:rPr>
        <w:t>À noter que le modèle en d) a été construit en considérant des informations supplémentaires, notamment la réflexion SV visible sur le tir en a) et des données en réfraction SH (non inclus ici).</w:t>
      </w:r>
    </w:p>
    <w:p w:rsidR="00F54349" w:rsidRDefault="00F54349" w:rsidP="00BE212C">
      <w:pPr>
        <w:rPr>
          <w:lang w:val="fr-CA"/>
        </w:rPr>
      </w:pPr>
    </w:p>
    <w:p w:rsidR="00935351" w:rsidRDefault="00935351" w:rsidP="009F49F9">
      <w:pPr>
        <w:pStyle w:val="Lgende"/>
        <w:rPr>
          <w:lang w:val="fr-CA"/>
        </w:rPr>
      </w:pPr>
      <w:r>
        <w:rPr>
          <w:noProof/>
          <w:lang w:eastAsia="fr-FR"/>
        </w:rPr>
        <mc:AlternateContent>
          <mc:Choice Requires="wps">
            <w:drawing>
              <wp:anchor distT="0" distB="3600450" distL="114300" distR="114300" simplePos="0" relativeHeight="251659264" behindDoc="0" locked="1" layoutInCell="1" allowOverlap="0" wp14:anchorId="1469BE55" wp14:editId="37B77B13">
                <wp:simplePos x="0" y="0"/>
                <wp:positionH relativeFrom="column">
                  <wp:posOffset>499745</wp:posOffset>
                </wp:positionH>
                <wp:positionV relativeFrom="paragraph">
                  <wp:posOffset>8182610</wp:posOffset>
                </wp:positionV>
                <wp:extent cx="4834255" cy="557530"/>
                <wp:effectExtent l="0" t="0" r="4445" b="1270"/>
                <wp:wrapTopAndBottom/>
                <wp:docPr id="3" name="Zone de texte 3"/>
                <wp:cNvGraphicFramePr/>
                <a:graphic xmlns:a="http://schemas.openxmlformats.org/drawingml/2006/main">
                  <a:graphicData uri="http://schemas.microsoft.com/office/word/2010/wordprocessingShape">
                    <wps:wsp>
                      <wps:cNvSpPr txBox="1"/>
                      <wps:spPr>
                        <a:xfrm>
                          <a:off x="0" y="0"/>
                          <a:ext cx="4834255" cy="557530"/>
                        </a:xfrm>
                        <a:prstGeom prst="rect">
                          <a:avLst/>
                        </a:prstGeom>
                        <a:solidFill>
                          <a:prstClr val="white"/>
                        </a:solidFill>
                        <a:ln>
                          <a:noFill/>
                        </a:ln>
                      </wps:spPr>
                      <wps:txbx>
                        <w:txbxContent>
                          <w:p w:rsidR="00935351" w:rsidRPr="00FD5382" w:rsidRDefault="00935351" w:rsidP="00FD5382">
                            <w:pPr>
                              <w:pStyle w:val="Lgende"/>
                            </w:pPr>
                            <w:r w:rsidRPr="00FD5382">
                              <w:t xml:space="preserve">Figure </w:t>
                            </w:r>
                            <w:fldSimple w:instr=" SEQ Figure \* ARABIC ">
                              <w:r w:rsidR="00FD5382" w:rsidRPr="00FD5382">
                                <w:t>1</w:t>
                              </w:r>
                            </w:fldSimple>
                            <w:r w:rsidRPr="00FD5382">
                              <w:t xml:space="preserve"> Levé MASW pour la mesure de Vs30. Un des tirs sismiques est montré en a), </w:t>
                            </w:r>
                            <w:r w:rsidR="00635D96">
                              <w:t>sa transformée</w:t>
                            </w:r>
                            <w:r w:rsidRPr="00FD5382">
                              <w:t xml:space="preserve"> </w:t>
                            </w:r>
                            <w:r w:rsidR="00635D96">
                              <w:t xml:space="preserve">dans </w:t>
                            </w:r>
                            <w:r w:rsidRPr="00FD5382">
                              <w:t>le domaine vitesse de phase/fréquence est en b), deux modèles possibles de vitesses de cisaillement sont montrés en c) et d), et le</w:t>
                            </w:r>
                            <w:r w:rsidR="009F49F9">
                              <w:t>s</w:t>
                            </w:r>
                            <w:r w:rsidRPr="00FD5382">
                              <w:t xml:space="preserve"> tir</w:t>
                            </w:r>
                            <w:r w:rsidR="009F49F9">
                              <w:t>s</w:t>
                            </w:r>
                            <w:r w:rsidRPr="00FD5382">
                              <w:t xml:space="preserve"> modélisé</w:t>
                            </w:r>
                            <w:r w:rsidR="009F49F9">
                              <w:t>s</w:t>
                            </w:r>
                            <w:r w:rsidRPr="00FD5382">
                              <w:t xml:space="preserve"> de ces deux modèles sont présentés en e) et f). </w:t>
                            </w:r>
                          </w:p>
                          <w:p w:rsidR="00935351" w:rsidRPr="00FD5382" w:rsidRDefault="00935351" w:rsidP="00FD5382">
                            <w:pPr>
                              <w:pStyle w:val="Lgend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469BE55" id="_x0000_t202" coordsize="21600,21600" o:spt="202" path="m,l,21600r21600,l21600,xe">
                <v:stroke joinstyle="miter"/>
                <v:path gradientshapeok="t" o:connecttype="rect"/>
              </v:shapetype>
              <v:shape id="Zone de texte 3" o:spid="_x0000_s1026" type="#_x0000_t202" style="position:absolute;margin-left:39.35pt;margin-top:644.3pt;width:380.65pt;height:43.9pt;z-index:251659264;visibility:visible;mso-wrap-style:square;mso-width-percent:0;mso-height-percent:0;mso-wrap-distance-left:9pt;mso-wrap-distance-top:0;mso-wrap-distance-right:9pt;mso-wrap-distance-bottom:283.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" o:allowoverlap="f" stroked="f">
                <v:textbox inset="0,0,0,0">
                  <w:txbxContent>
                    <w:p w:rsidR="00935351" w:rsidRPr="00FD5382" w:rsidRDefault="00935351" w:rsidP="00FD5382">
                      <w:pPr>
                        <w:pStyle w:val="Lgende"/>
                      </w:pPr>
                      <w:r w:rsidRPr="00FD5382">
                        <w:t xml:space="preserve">Figure </w:t>
                      </w:r>
                      <w:r w:rsidRPr="00FD5382">
                        <w:fldChar w:fldCharType="begin"/>
                      </w:r>
                      <w:r w:rsidRPr="00FD5382">
                        <w:instrText xml:space="preserve"> SEQ Figure \* ARABIC </w:instrText>
                      </w:r>
                      <w:r w:rsidRPr="00FD5382">
                        <w:fldChar w:fldCharType="separate"/>
                      </w:r>
                      <w:r w:rsidR="00FD5382" w:rsidRPr="00FD5382">
                        <w:t>1</w:t>
                      </w:r>
                      <w:r w:rsidRPr="00FD5382">
                        <w:fldChar w:fldCharType="end"/>
                      </w:r>
                      <w:r w:rsidRPr="00FD5382">
                        <w:t xml:space="preserve"> Levé MASW pour la mesure de Vs30. Un des tirs sismiques est montré en a), </w:t>
                      </w:r>
                      <w:r w:rsidR="00635D96">
                        <w:t>sa transformée</w:t>
                      </w:r>
                      <w:r w:rsidRPr="00FD5382">
                        <w:t xml:space="preserve"> </w:t>
                      </w:r>
                      <w:r w:rsidR="00635D96">
                        <w:t xml:space="preserve">dans </w:t>
                      </w:r>
                      <w:r w:rsidRPr="00FD5382">
                        <w:t>le domaine vitesse de phase/fréquence est en b), deux modèles possibles de vitesses de cisaillement sont montrés en c) et d), et le</w:t>
                      </w:r>
                      <w:r w:rsidR="009F49F9">
                        <w:t>s</w:t>
                      </w:r>
                      <w:r w:rsidRPr="00FD5382">
                        <w:t xml:space="preserve"> tir</w:t>
                      </w:r>
                      <w:r w:rsidR="009F49F9">
                        <w:t>s</w:t>
                      </w:r>
                      <w:r w:rsidRPr="00FD5382">
                        <w:t xml:space="preserve"> modélisé</w:t>
                      </w:r>
                      <w:r w:rsidR="009F49F9">
                        <w:t>s</w:t>
                      </w:r>
                      <w:r w:rsidRPr="00FD5382">
                        <w:t xml:space="preserve"> de ces deux modèles sont présentés en e) et f). </w:t>
                      </w:r>
                    </w:p>
                    <w:p w:rsidR="00935351" w:rsidRPr="00FD5382" w:rsidRDefault="00935351" w:rsidP="00FD5382">
                      <w:pPr>
                        <w:pStyle w:val="Lgende"/>
                      </w:pPr>
                    </w:p>
                  </w:txbxContent>
                </v:textbox>
                <w10:wrap type="topAndBottom"/>
                <w10:anchorlock/>
              </v:shape>
            </w:pict>
          </mc:Fallback>
        </mc:AlternateContent>
      </w:r>
      <w:r w:rsidRPr="00227588">
        <w:rPr>
          <w:noProof/>
          <w:lang w:eastAsia="fr-FR"/>
        </w:rPr>
        <w:drawing>
          <wp:anchor distT="0" distB="3600450" distL="114300" distR="114300" simplePos="0" relativeHeight="251660288" behindDoc="0" locked="1" layoutInCell="1" allowOverlap="0" wp14:anchorId="3F7AB86F" wp14:editId="62026026">
            <wp:simplePos x="0" y="0"/>
            <wp:positionH relativeFrom="column">
              <wp:posOffset>404495</wp:posOffset>
            </wp:positionH>
            <wp:positionV relativeFrom="page">
              <wp:posOffset>1046480</wp:posOffset>
            </wp:positionV>
            <wp:extent cx="4798695" cy="8211185"/>
            <wp:effectExtent l="0" t="0" r="1905" b="5715"/>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dele_combine_v2.pdf"/>
                    <pic:cNvPicPr/>
                  </pic:nvPicPr>
                  <pic:blipFill>
                    <a:blip r:embed="rId9">
                      <a:extLst>
                        <a:ext uri="{28A0092B-C50C-407E-A947-70E740481C1C}">
                          <a14:useLocalDpi xmlns:a14="http://schemas.microsoft.com/office/drawing/2010/main" val="0"/>
                        </a:ext>
                      </a:extLst>
                    </a:blip>
                    <a:stretch>
                      <a:fillRect/>
                    </a:stretch>
                  </pic:blipFill>
                  <pic:spPr>
                    <a:xfrm>
                      <a:off x="0" y="0"/>
                      <a:ext cx="4798695" cy="8211185"/>
                    </a:xfrm>
                    <a:prstGeom prst="rect">
                      <a:avLst/>
                    </a:prstGeom>
                  </pic:spPr>
                </pic:pic>
              </a:graphicData>
            </a:graphic>
            <wp14:sizeRelH relativeFrom="margin">
              <wp14:pctWidth>0</wp14:pctWidth>
            </wp14:sizeRelH>
            <wp14:sizeRelV relativeFrom="margin">
              <wp14:pctHeight>0</wp14:pctHeight>
            </wp14:sizeRelV>
          </wp:anchor>
        </w:drawing>
      </w:r>
    </w:p>
    <w:p w:rsidR="0095558E" w:rsidRDefault="002A1D51" w:rsidP="00BE212C">
      <w:pPr>
        <w:rPr>
          <w:lang w:val="fr-CA"/>
        </w:rPr>
      </w:pPr>
      <w:r>
        <w:rPr>
          <w:lang w:val="fr-CA"/>
        </w:rPr>
        <w:t>Pour les deux modèles en c) et d), les données synthétiques ont été modélisées grâce à une solution numérique de l’équation 2, et sont montré</w:t>
      </w:r>
      <w:r w:rsidR="00C56691">
        <w:rPr>
          <w:lang w:val="fr-CA"/>
        </w:rPr>
        <w:t>e</w:t>
      </w:r>
      <w:r>
        <w:rPr>
          <w:lang w:val="fr-CA"/>
        </w:rPr>
        <w:t>s à la Figure 1e) et f)</w:t>
      </w:r>
      <w:r w:rsidR="00C56691">
        <w:rPr>
          <w:lang w:val="fr-CA"/>
        </w:rPr>
        <w:t>.</w:t>
      </w:r>
      <w:r>
        <w:rPr>
          <w:lang w:val="fr-CA"/>
        </w:rPr>
        <w:t xml:space="preserve"> Les deux tirs </w:t>
      </w:r>
      <w:r w:rsidR="0095130C">
        <w:rPr>
          <w:lang w:val="fr-CA"/>
        </w:rPr>
        <w:t>présentent</w:t>
      </w:r>
      <w:r>
        <w:rPr>
          <w:lang w:val="fr-CA"/>
        </w:rPr>
        <w:t xml:space="preserve"> des ondes de surface similaires. Cependant, une différence majeure est la présence d’une réflexion clairement identifiable sur le tir en </w:t>
      </w:r>
      <w:r w:rsidR="0095558E">
        <w:rPr>
          <w:lang w:val="fr-CA"/>
        </w:rPr>
        <w:t xml:space="preserve">f), correspondant au modèle avec une vitesse au roc de 1600 m/s. </w:t>
      </w:r>
      <w:r w:rsidR="0095130C">
        <w:rPr>
          <w:lang w:val="fr-CA"/>
        </w:rPr>
        <w:t>Cette réflexion est aussi présente dans les données acquises de la Figure 1</w:t>
      </w:r>
      <w:r w:rsidR="0095558E">
        <w:rPr>
          <w:lang w:val="fr-CA"/>
        </w:rPr>
        <w:t>a)</w:t>
      </w:r>
      <w:r w:rsidR="0095130C">
        <w:rPr>
          <w:lang w:val="fr-CA"/>
        </w:rPr>
        <w:t xml:space="preserve">. </w:t>
      </w:r>
      <w:r w:rsidR="0095558E">
        <w:rPr>
          <w:lang w:val="fr-CA"/>
        </w:rPr>
        <w:t xml:space="preserve">La correspondance </w:t>
      </w:r>
      <w:r w:rsidR="0095130C">
        <w:rPr>
          <w:lang w:val="fr-CA"/>
        </w:rPr>
        <w:t xml:space="preserve">entre les tire en a) et f) </w:t>
      </w:r>
      <w:r w:rsidR="0095558E">
        <w:rPr>
          <w:lang w:val="fr-CA"/>
        </w:rPr>
        <w:t xml:space="preserve">n’est cependant pas parfaite. En effet, le modèle en d) a été construit en intégrant manuellement les vitesses de phase, les premières arrivées des ondes SH et les réflexions des ondes SV. Une inversion directe du tir sismique permettrait </w:t>
      </w:r>
      <w:r w:rsidR="00635D96">
        <w:rPr>
          <w:lang w:val="fr-CA"/>
        </w:rPr>
        <w:t>une reproduction plus exacte</w:t>
      </w:r>
      <w:r w:rsidR="0095558E">
        <w:rPr>
          <w:lang w:val="fr-CA"/>
        </w:rPr>
        <w:t xml:space="preserve">, et donc d’aller chercher des contraintes supplémentaires sur le modèle de vitesse. </w:t>
      </w:r>
      <w:r w:rsidR="00213B88">
        <w:rPr>
          <w:lang w:val="fr-CA"/>
        </w:rPr>
        <w:t>Ceci</w:t>
      </w:r>
      <w:r w:rsidR="0095558E">
        <w:rPr>
          <w:lang w:val="fr-CA"/>
        </w:rPr>
        <w:t xml:space="preserve"> peut être fait grâce à l’IFO.</w:t>
      </w:r>
    </w:p>
    <w:p w:rsidR="00E17414" w:rsidRDefault="00E17414" w:rsidP="00BE212C">
      <w:pPr>
        <w:rPr>
          <w:lang w:val="fr-CA"/>
        </w:rPr>
      </w:pPr>
    </w:p>
    <w:p w:rsidR="00E17414" w:rsidRDefault="00E17414" w:rsidP="00E17414">
      <w:pPr>
        <w:rPr>
          <w:b/>
          <w:bCs/>
          <w:lang w:val="fr-CA"/>
        </w:rPr>
      </w:pPr>
      <w:r>
        <w:rPr>
          <w:b/>
          <w:bCs/>
          <w:lang w:val="fr-CA"/>
        </w:rPr>
        <w:t>Inversion par IFO</w:t>
      </w:r>
    </w:p>
    <w:p w:rsidR="00E17414" w:rsidRDefault="00E17414" w:rsidP="00BE212C">
      <w:pPr>
        <w:rPr>
          <w:lang w:val="fr-CA"/>
        </w:rPr>
      </w:pPr>
      <w:r>
        <w:rPr>
          <w:lang w:val="fr-CA"/>
        </w:rPr>
        <w:t xml:space="preserve">Pour montrer la puissance </w:t>
      </w:r>
      <w:r w:rsidR="000E466B">
        <w:rPr>
          <w:lang w:val="fr-CA"/>
        </w:rPr>
        <w:t>de l</w:t>
      </w:r>
      <w:r>
        <w:rPr>
          <w:lang w:val="fr-CA"/>
        </w:rPr>
        <w:t>’inversion de formes d’onde, un exemple synthétique est ici présenté. Cet exemple est inspiré des mesures sismiques entre forages pour le suivi temporel lors de la séquestration géologique du CO</w:t>
      </w:r>
      <w:r w:rsidRPr="00E17414">
        <w:rPr>
          <w:vertAlign w:val="subscript"/>
          <w:lang w:val="fr-CA"/>
        </w:rPr>
        <w:t>2</w:t>
      </w:r>
      <w:r>
        <w:rPr>
          <w:lang w:val="fr-CA"/>
        </w:rPr>
        <w:t>. Pour ce cas, un modèle des propriétés viscoélastiques de roches sédimentaires a été construit, comprenant la vitesse des ondes P et S, Vp et Vs, ainsi que leur facteur de qualité</w:t>
      </w:r>
      <w:r w:rsidR="00635D96">
        <w:rPr>
          <w:lang w:val="fr-CA"/>
        </w:rPr>
        <w:t>,</w:t>
      </w:r>
      <w:r>
        <w:rPr>
          <w:lang w:val="fr-CA"/>
        </w:rPr>
        <w:t xml:space="preserve"> Qp et Qs. </w:t>
      </w:r>
      <w:r w:rsidR="000E466B">
        <w:rPr>
          <w:lang w:val="fr-CA"/>
        </w:rPr>
        <w:t xml:space="preserve">Ces modèles sont présentés à la première rangée de la Figure 1. L’atténuation est </w:t>
      </w:r>
      <w:r w:rsidR="0095130C">
        <w:rPr>
          <w:lang w:val="fr-CA"/>
        </w:rPr>
        <w:t>d’intensité</w:t>
      </w:r>
      <w:r w:rsidR="000E466B">
        <w:rPr>
          <w:lang w:val="fr-CA"/>
        </w:rPr>
        <w:t xml:space="preserve"> moyenne avec des facteurs de qualités entre 250 et 40. Un levé sismique entre forage</w:t>
      </w:r>
      <w:r w:rsidR="00C56691">
        <w:rPr>
          <w:lang w:val="fr-CA"/>
        </w:rPr>
        <w:t>s</w:t>
      </w:r>
      <w:r w:rsidR="000E466B">
        <w:rPr>
          <w:lang w:val="fr-CA"/>
        </w:rPr>
        <w:t xml:space="preserve"> à déport multiple a été simulé, avec des sources orientées en z tous les 1m </w:t>
      </w:r>
      <w:r w:rsidR="0095130C">
        <w:rPr>
          <w:lang w:val="fr-CA"/>
        </w:rPr>
        <w:t>au</w:t>
      </w:r>
      <w:r w:rsidR="000E466B">
        <w:rPr>
          <w:lang w:val="fr-CA"/>
        </w:rPr>
        <w:t xml:space="preserve"> forage de gauche, et des receveurs orientés en x et z tous les 1m </w:t>
      </w:r>
      <w:r w:rsidR="0095130C">
        <w:rPr>
          <w:lang w:val="fr-CA"/>
        </w:rPr>
        <w:t>au</w:t>
      </w:r>
      <w:r w:rsidR="000E466B">
        <w:rPr>
          <w:lang w:val="fr-CA"/>
        </w:rPr>
        <w:t xml:space="preserve"> forage de droite. Le regroupement à déport nul des données simulées est présenté à la Figure 2, premier panneau de la rangée du bas. On y voit deux types d’arrivées : les ondes P peu énergétiques, dont les premières arrivées sont dénotées par le trait en rouge</w:t>
      </w:r>
      <w:r w:rsidR="00635D96">
        <w:rPr>
          <w:lang w:val="fr-CA"/>
        </w:rPr>
        <w:t>, et</w:t>
      </w:r>
      <w:r w:rsidR="000E466B">
        <w:rPr>
          <w:lang w:val="fr-CA"/>
        </w:rPr>
        <w:t xml:space="preserve"> les ondes S, dénotées par le trait bleu. </w:t>
      </w:r>
    </w:p>
    <w:p w:rsidR="000E466B" w:rsidRDefault="000E466B" w:rsidP="00BE212C">
      <w:pPr>
        <w:rPr>
          <w:lang w:val="fr-CA"/>
        </w:rPr>
      </w:pPr>
    </w:p>
    <w:p w:rsidR="000E466B" w:rsidRDefault="00172AA6" w:rsidP="00BE212C">
      <w:pPr>
        <w:rPr>
          <w:lang w:val="fr-CA"/>
        </w:rPr>
      </w:pPr>
      <w:r>
        <w:rPr>
          <w:lang w:val="fr-CA"/>
        </w:rPr>
        <w:t xml:space="preserve">L’inversion de formes d’onde a été appliquée à ce jeu de données synthétique selon une approche standard </w:t>
      </w:r>
      <w:r>
        <w:rPr>
          <w:lang w:val="fr-CA"/>
        </w:rPr>
        <w:fldChar w:fldCharType="begin"/>
      </w:r>
      <w:r w:rsidR="00CF2B5A">
        <w:rPr>
          <w:lang w:val="fr-CA"/>
        </w:rPr>
        <w:instrText xml:space="preserve"> ADDIN EN.CITE &lt;EndNote&gt;&lt;Cite&gt;&lt;Author&gt;Fabien-Ouellet&lt;/Author&gt;&lt;Year&gt;2017&lt;/Year&gt;&lt;RecNum&gt;702&lt;/RecNum&gt;&lt;DisplayText&gt;(Fabien-Ouellet et al., 2017a)&lt;/DisplayText&gt;&lt;record&gt;&lt;rec-number&gt;702&lt;/rec-number&gt;&lt;foreign-keys&gt;&lt;key app="EN" db-id="ppsd5par292dz4eep2cva0rnspeddaft5e2t" timestamp="1495137164" guid="3c62a482-f154-4c0c-87d7-0ac92f18dba8"&gt;702&lt;/key&gt;&lt;/foreign-keys&gt;&lt;ref-type name="Journal Article"&gt;17&lt;/ref-type&gt;&lt;contributors&gt;&lt;authors&gt;&lt;author&gt;Fabien-Ouellet, Gabriel&lt;/author&gt;&lt;author&gt;Gloaguen, Erwan&lt;/author&gt;&lt;author&gt;Giroux, Bernard&lt;/author&gt;&lt;/authors&gt;&lt;/contributors&gt;&lt;titles&gt;&lt;title&gt;Time domain viscoelastic full waveform inversion&lt;/title&gt;&lt;secondary-title&gt;Geophysical Journal International&lt;/secondary-title&gt;&lt;/titles&gt;&lt;periodical&gt;&lt;full-title&gt;Geophysical Journal International&lt;/full-title&gt;&lt;/periodical&gt;&lt;pages&gt;1718-1734&lt;/pages&gt;&lt;volume&gt;209&lt;/volume&gt;&lt;number&gt;3&lt;/number&gt;&lt;dates&gt;&lt;year&gt;2017&lt;/year&gt;&lt;/dates&gt;&lt;isbn&gt;0956-540X&lt;/isbn&gt;&lt;urls&gt;&lt;/urls&gt;&lt;electronic-resource-num&gt;10.1093/gji/ggx110&lt;/electronic-resource-num&gt;&lt;/record&gt;&lt;/Cite&gt;&lt;/EndNote&gt;</w:instrText>
      </w:r>
      <w:r>
        <w:rPr>
          <w:lang w:val="fr-CA"/>
        </w:rPr>
        <w:fldChar w:fldCharType="separate"/>
      </w:r>
      <w:r w:rsidR="00CF2B5A">
        <w:rPr>
          <w:noProof/>
          <w:lang w:val="fr-CA"/>
        </w:rPr>
        <w:t>(Fabien-Ouellet et al., 2017a)</w:t>
      </w:r>
      <w:r>
        <w:rPr>
          <w:lang w:val="fr-CA"/>
        </w:rPr>
        <w:fldChar w:fldCharType="end"/>
      </w:r>
      <w:r>
        <w:rPr>
          <w:lang w:val="fr-CA"/>
        </w:rPr>
        <w:t xml:space="preserve">. Les </w:t>
      </w:r>
      <w:r w:rsidR="00020CC2">
        <w:rPr>
          <w:lang w:val="fr-CA"/>
        </w:rPr>
        <w:t>quatre</w:t>
      </w:r>
      <w:r>
        <w:rPr>
          <w:lang w:val="fr-CA"/>
        </w:rPr>
        <w:t xml:space="preserve"> paramètres d’inversion, Vp, Vs, Qp et Qs sont montrés à la Figure 2, rangée du milieu. </w:t>
      </w:r>
      <w:r w:rsidR="00020CC2">
        <w:rPr>
          <w:lang w:val="fr-CA"/>
        </w:rPr>
        <w:t xml:space="preserve">En comparant les vrais modèles </w:t>
      </w:r>
      <w:r w:rsidR="00635D96">
        <w:rPr>
          <w:lang w:val="fr-CA"/>
        </w:rPr>
        <w:t xml:space="preserve">de </w:t>
      </w:r>
      <w:r w:rsidR="00020CC2">
        <w:rPr>
          <w:lang w:val="fr-CA"/>
        </w:rPr>
        <w:t>vitesse (rangée du haut) et les modèles inversés (rangée du centre), on constate que l’inversion est parvenue à reproduire presqu</w:t>
      </w:r>
      <w:r w:rsidR="00C56691">
        <w:rPr>
          <w:lang w:val="fr-CA"/>
        </w:rPr>
        <w:t xml:space="preserve">e </w:t>
      </w:r>
      <w:r w:rsidR="00020CC2">
        <w:rPr>
          <w:lang w:val="fr-CA"/>
        </w:rPr>
        <w:t xml:space="preserve">entièrement les hétérogénéités </w:t>
      </w:r>
      <w:r w:rsidR="00635D96">
        <w:rPr>
          <w:lang w:val="fr-CA"/>
        </w:rPr>
        <w:t>présentes</w:t>
      </w:r>
      <w:r w:rsidR="00020CC2">
        <w:rPr>
          <w:lang w:val="fr-CA"/>
        </w:rPr>
        <w:t xml:space="preserve">. Ceci montre la </w:t>
      </w:r>
      <w:r w:rsidR="0095130C">
        <w:rPr>
          <w:lang w:val="fr-CA"/>
        </w:rPr>
        <w:t>fine</w:t>
      </w:r>
      <w:r w:rsidR="00020CC2">
        <w:rPr>
          <w:lang w:val="fr-CA"/>
        </w:rPr>
        <w:t xml:space="preserve"> résolution qui peut être atteinte avec l’IFO. Les facteurs de qualité sont aussi reproduits avec une assez bonne résolution. Cependant, de plus grands artéfacts sont présents, ce qui illustre la difficulté à estimer les facteurs de qualité avec les mesures sismiques. </w:t>
      </w:r>
      <w:r w:rsidR="00C9350F">
        <w:rPr>
          <w:lang w:val="fr-CA"/>
        </w:rPr>
        <w:t xml:space="preserve">Néanmoins, cette estimation serait suffisamment précise pour être exploitable </w:t>
      </w:r>
      <w:r w:rsidR="00635D96">
        <w:rPr>
          <w:lang w:val="fr-CA"/>
        </w:rPr>
        <w:t xml:space="preserve">en </w:t>
      </w:r>
      <w:r w:rsidR="00C9350F">
        <w:rPr>
          <w:lang w:val="fr-CA"/>
        </w:rPr>
        <w:t xml:space="preserve">pratique. </w:t>
      </w:r>
      <w:r w:rsidR="001A6FB6">
        <w:rPr>
          <w:lang w:val="fr-CA"/>
        </w:rPr>
        <w:t xml:space="preserve">Enfin, les données sismiques du modèle inversé (Figure 2, rangée du bas) reproduisent la presque totalité des arrivées retrouvées sur les données observées. </w:t>
      </w:r>
      <w:r w:rsidR="00433D19">
        <w:rPr>
          <w:lang w:val="fr-CA"/>
        </w:rPr>
        <w:t xml:space="preserve">Ceci doit être comparé aux </w:t>
      </w:r>
      <w:r w:rsidR="001A6FB6">
        <w:rPr>
          <w:lang w:val="fr-CA"/>
        </w:rPr>
        <w:t xml:space="preserve">données du modèle avant inversion (Figure 2, rangée du bas, </w:t>
      </w:r>
      <w:r w:rsidR="00433D19">
        <w:rPr>
          <w:lang w:val="fr-CA"/>
        </w:rPr>
        <w:t>milieu</w:t>
      </w:r>
      <w:r w:rsidR="00635D96">
        <w:rPr>
          <w:lang w:val="fr-CA"/>
        </w:rPr>
        <w:t>)</w:t>
      </w:r>
      <w:r w:rsidR="001A6FB6">
        <w:rPr>
          <w:lang w:val="fr-CA"/>
        </w:rPr>
        <w:t xml:space="preserve"> obtenu par tracé de rais</w:t>
      </w:r>
      <w:r w:rsidR="00433D19">
        <w:rPr>
          <w:lang w:val="fr-CA"/>
        </w:rPr>
        <w:t xml:space="preserve"> : uniquement les premières arrivées peuvent être distinguées, et la complexité du front d’onde est très mal reproduite. </w:t>
      </w:r>
    </w:p>
    <w:p w:rsidR="000E466B" w:rsidRDefault="000E466B" w:rsidP="00BE212C">
      <w:pPr>
        <w:rPr>
          <w:lang w:val="fr-CA"/>
        </w:rPr>
      </w:pPr>
    </w:p>
    <w:p w:rsidR="00433D19" w:rsidRDefault="00433D19" w:rsidP="00433D19">
      <w:pPr>
        <w:rPr>
          <w:b/>
          <w:bCs/>
          <w:lang w:val="fr-CA"/>
        </w:rPr>
      </w:pPr>
      <w:r>
        <w:rPr>
          <w:b/>
          <w:bCs/>
          <w:lang w:val="fr-CA"/>
        </w:rPr>
        <w:t>Conclusion</w:t>
      </w:r>
    </w:p>
    <w:p w:rsidR="00433D19" w:rsidRDefault="00AB6736" w:rsidP="00BE212C">
      <w:pPr>
        <w:rPr>
          <w:lang w:val="fr-CA"/>
        </w:rPr>
      </w:pPr>
      <w:r>
        <w:rPr>
          <w:lang w:val="fr-CA"/>
        </w:rPr>
        <w:t xml:space="preserve">Les données sismiques de proche surface recèlent une quantité d’information sur les paramètres viscoélastiques des sols qui n’est pas exploitée à son plein potentiel par les traitements standard. Ceci a été illustré par </w:t>
      </w:r>
      <w:r w:rsidR="001A4653">
        <w:rPr>
          <w:lang w:val="fr-CA"/>
        </w:rPr>
        <w:t>une première étude</w:t>
      </w:r>
      <w:r>
        <w:rPr>
          <w:lang w:val="fr-CA"/>
        </w:rPr>
        <w:t xml:space="preserve"> de cas, où un levé MASW a été traité selon le mode fondamental. Il a été montré que plusieurs modèles équivalents permettent de reproduire la </w:t>
      </w:r>
      <w:r w:rsidR="0029399A">
        <w:rPr>
          <w:lang w:val="fr-CA"/>
        </w:rPr>
        <w:t xml:space="preserve">même </w:t>
      </w:r>
      <w:r>
        <w:rPr>
          <w:lang w:val="fr-CA"/>
        </w:rPr>
        <w:t>courbe de dispersion, et que des informations d’autres phase</w:t>
      </w:r>
      <w:r w:rsidR="00C56691">
        <w:rPr>
          <w:lang w:val="fr-CA"/>
        </w:rPr>
        <w:t>s</w:t>
      </w:r>
      <w:r>
        <w:rPr>
          <w:lang w:val="fr-CA"/>
        </w:rPr>
        <w:t xml:space="preserve"> sismiques présentes dans les données (réfractions et réflexions) </w:t>
      </w:r>
      <w:r w:rsidR="00016086">
        <w:rPr>
          <w:lang w:val="fr-CA"/>
        </w:rPr>
        <w:t>sont en mesure</w:t>
      </w:r>
      <w:r>
        <w:rPr>
          <w:lang w:val="fr-CA"/>
        </w:rPr>
        <w:t xml:space="preserve"> de mieux contraindre le modèle de vitesse. Il a ensuite été montré comment l’IFO est une technique permettant d’inclure l’information de toutes les arrivées sismiques et d’inversion pour plusieurs paramètres sismiques simultanément (Vp, Vs, Qp, Qs).</w:t>
      </w:r>
      <w:r w:rsidR="0029399A">
        <w:rPr>
          <w:lang w:val="fr-CA"/>
        </w:rPr>
        <w:t xml:space="preserve"> Le cas présenté montre l’excellente résolution pouvant être atteinte avec cette approche, ainsi que la capacité des mesures sismiques de reconstruite les paramètres d’atténuation des roches. </w:t>
      </w:r>
      <w:r>
        <w:rPr>
          <w:lang w:val="fr-CA"/>
        </w:rPr>
        <w:t xml:space="preserve">  </w:t>
      </w:r>
    </w:p>
    <w:p w:rsidR="000E466B" w:rsidRDefault="000E466B" w:rsidP="00BE212C">
      <w:pPr>
        <w:rPr>
          <w:lang w:val="fr-CA"/>
        </w:rPr>
      </w:pPr>
    </w:p>
    <w:p w:rsidR="00631948" w:rsidRPr="00631948" w:rsidRDefault="00631948" w:rsidP="00631948">
      <w:pPr>
        <w:rPr>
          <w:rFonts w:cs="Arial"/>
          <w:sz w:val="18"/>
          <w:szCs w:val="18"/>
          <w:u w:val="single"/>
          <w:lang w:val="en-US"/>
        </w:rPr>
      </w:pPr>
      <w:r w:rsidRPr="00631948">
        <w:rPr>
          <w:b/>
          <w:bCs/>
          <w:lang w:val="en-US"/>
        </w:rPr>
        <w:t>Références</w:t>
      </w:r>
    </w:p>
    <w:p w:rsidR="00631948" w:rsidRPr="00FD5382" w:rsidRDefault="00631948" w:rsidP="00631948">
      <w:pPr>
        <w:pStyle w:val="EndNoteBibliography"/>
        <w:ind w:left="284" w:hanging="284"/>
        <w:jc w:val="left"/>
        <w:rPr>
          <w:noProof/>
        </w:rPr>
      </w:pPr>
      <w:r w:rsidRPr="00CF2B5A">
        <w:rPr>
          <w:szCs w:val="18"/>
          <w:u w:val="single"/>
          <w:lang w:val="fr-CA"/>
        </w:rPr>
        <w:fldChar w:fldCharType="begin"/>
      </w:r>
      <w:r w:rsidRPr="00631948">
        <w:rPr>
          <w:szCs w:val="18"/>
          <w:u w:val="single"/>
        </w:rPr>
        <w:instrText xml:space="preserve"> ADDIN EN.REFLIST </w:instrText>
      </w:r>
      <w:r w:rsidRPr="00CF2B5A">
        <w:rPr>
          <w:szCs w:val="18"/>
          <w:u w:val="single"/>
          <w:lang w:val="fr-CA"/>
        </w:rPr>
        <w:fldChar w:fldCharType="separate"/>
      </w:r>
      <w:r w:rsidRPr="00FD5382">
        <w:rPr>
          <w:noProof/>
        </w:rPr>
        <w:t xml:space="preserve">Fabien-Ouellet, G., E. Gloaguen and B. Giroux, 2017a, Time domain viscoelastic full waveform inversion: Geophysical Journal International, </w:t>
      </w:r>
      <w:r w:rsidRPr="00FD5382">
        <w:rPr>
          <w:b/>
          <w:noProof/>
        </w:rPr>
        <w:t>209</w:t>
      </w:r>
      <w:r w:rsidRPr="00FD5382">
        <w:rPr>
          <w:noProof/>
        </w:rPr>
        <w:t>, no. 3, 1718-1734,  doi: 10.1093/gji/ggx110.</w:t>
      </w:r>
    </w:p>
    <w:p w:rsidR="00631948" w:rsidRPr="00FD5382" w:rsidRDefault="00631948" w:rsidP="00631948">
      <w:pPr>
        <w:pStyle w:val="EndNoteBibliography"/>
        <w:ind w:left="284" w:hanging="284"/>
        <w:jc w:val="left"/>
        <w:rPr>
          <w:noProof/>
        </w:rPr>
      </w:pPr>
      <w:r w:rsidRPr="00FD5382">
        <w:rPr>
          <w:noProof/>
        </w:rPr>
        <w:t xml:space="preserve">Fabien-Ouellet, G., E. Gloaguen and B. Giroux, 2017b, Time-domain seismic modeling in viscoelastic media for full waveform inversion on heterogeneous computing platforms with OpenCL: Computers &amp; Geosciences, </w:t>
      </w:r>
      <w:r w:rsidRPr="00FD5382">
        <w:rPr>
          <w:b/>
          <w:noProof/>
        </w:rPr>
        <w:t>100</w:t>
      </w:r>
      <w:r w:rsidRPr="00FD5382">
        <w:rPr>
          <w:noProof/>
        </w:rPr>
        <w:t>, 142-155,  doi: 10.1016/j.cageo.2016.12.004.</w:t>
      </w:r>
    </w:p>
    <w:p w:rsidR="00631948" w:rsidRPr="00FD5382" w:rsidRDefault="00631948" w:rsidP="00631948">
      <w:pPr>
        <w:pStyle w:val="EndNoteBibliography"/>
        <w:ind w:left="284" w:hanging="284"/>
        <w:jc w:val="left"/>
        <w:rPr>
          <w:noProof/>
        </w:rPr>
      </w:pPr>
      <w:r w:rsidRPr="00FD5382">
        <w:rPr>
          <w:noProof/>
        </w:rPr>
        <w:t xml:space="preserve">Hagedoorn, J. G., 1959, The Plus-Minus Method of Interpreting Seismic Refraction Sections*: Geophysical Prospecting, </w:t>
      </w:r>
      <w:r w:rsidRPr="00FD5382">
        <w:rPr>
          <w:b/>
          <w:noProof/>
        </w:rPr>
        <w:t>7</w:t>
      </w:r>
      <w:r w:rsidRPr="00FD5382">
        <w:rPr>
          <w:noProof/>
        </w:rPr>
        <w:t>, no. 2, 158-182,  doi: 10.1111/j.1365-2478.1959.tb01460.x.</w:t>
      </w:r>
    </w:p>
    <w:p w:rsidR="00631948" w:rsidRPr="00FD5382" w:rsidRDefault="00631948" w:rsidP="00631948">
      <w:pPr>
        <w:pStyle w:val="EndNoteBibliography"/>
        <w:ind w:left="284" w:hanging="284"/>
        <w:jc w:val="left"/>
        <w:rPr>
          <w:noProof/>
        </w:rPr>
      </w:pPr>
      <w:r w:rsidRPr="00FD5382">
        <w:rPr>
          <w:noProof/>
        </w:rPr>
        <w:t>Hunter, J., H. Crow, J. Arsenault, U. Atukorala, M. Best, D. Campos, C. Candy, L. Chouinard, M. Claprood and H. Dutrisac, 2015, Shear wave velocity measurement guidelines for Canadian seismic site characterization in soil and rock, Natural Resources Canada.</w:t>
      </w:r>
    </w:p>
    <w:p w:rsidR="00631948" w:rsidRPr="00FD5382" w:rsidRDefault="00631948" w:rsidP="00631948">
      <w:pPr>
        <w:pStyle w:val="EndNoteBibliography"/>
        <w:ind w:left="284" w:hanging="284"/>
        <w:jc w:val="left"/>
        <w:rPr>
          <w:noProof/>
        </w:rPr>
      </w:pPr>
      <w:r w:rsidRPr="00FD5382">
        <w:rPr>
          <w:noProof/>
        </w:rPr>
        <w:t xml:space="preserve">Palmer, D., 1981, An Introduction to the generalized reciprocal method of seismic refraction interpretation: Geophysics, </w:t>
      </w:r>
      <w:r w:rsidRPr="00FD5382">
        <w:rPr>
          <w:b/>
          <w:noProof/>
        </w:rPr>
        <w:t>46</w:t>
      </w:r>
      <w:r w:rsidRPr="00FD5382">
        <w:rPr>
          <w:noProof/>
        </w:rPr>
        <w:t>, no. 11, 1508-1518,  doi: 10.1190/1.1441157.</w:t>
      </w:r>
    </w:p>
    <w:p w:rsidR="00631948" w:rsidRPr="00FD5382" w:rsidRDefault="00631948" w:rsidP="00631948">
      <w:pPr>
        <w:pStyle w:val="EndNoteBibliography"/>
        <w:ind w:left="284" w:hanging="284"/>
        <w:jc w:val="left"/>
        <w:rPr>
          <w:noProof/>
        </w:rPr>
      </w:pPr>
      <w:r w:rsidRPr="00FD5382">
        <w:rPr>
          <w:noProof/>
        </w:rPr>
        <w:t xml:space="preserve">Park, C. B., R. D. Miller and J. Xia, 1999, Multichannel analysis of surface waves: Geophysics, </w:t>
      </w:r>
      <w:r w:rsidRPr="00FD5382">
        <w:rPr>
          <w:b/>
          <w:noProof/>
        </w:rPr>
        <w:t>64</w:t>
      </w:r>
      <w:r w:rsidRPr="00FD5382">
        <w:rPr>
          <w:noProof/>
        </w:rPr>
        <w:t>, no. 3, 800-808,  doi: 10.1190/1.1444590.</w:t>
      </w:r>
    </w:p>
    <w:p w:rsidR="00631948" w:rsidRPr="00631948" w:rsidRDefault="00631948" w:rsidP="00631948">
      <w:pPr>
        <w:pStyle w:val="EndNoteBibliography"/>
        <w:ind w:left="284" w:hanging="284"/>
        <w:jc w:val="left"/>
        <w:rPr>
          <w:u w:val="single"/>
        </w:rPr>
      </w:pPr>
      <w:r w:rsidRPr="00FD5382">
        <w:rPr>
          <w:noProof/>
        </w:rPr>
        <w:t xml:space="preserve">Pugin, A. J.-M., S. E. Pullan, J. A. Hunter and G. A. Oldenborger, 2009, Hydrogeological prospecting using P-and S-wave landstreamer seismic reflection methods: Near Surface Geophysics, </w:t>
      </w:r>
      <w:r w:rsidRPr="00FD5382">
        <w:rPr>
          <w:b/>
          <w:noProof/>
        </w:rPr>
        <w:t>7</w:t>
      </w:r>
      <w:r w:rsidRPr="00FD5382">
        <w:rPr>
          <w:noProof/>
        </w:rPr>
        <w:t>, no. 5-6, 315-327.</w:t>
      </w:r>
      <w:r w:rsidRPr="00CF2B5A">
        <w:rPr>
          <w:szCs w:val="18"/>
          <w:u w:val="single"/>
          <w:lang w:val="fr-CA"/>
        </w:rPr>
        <w:fldChar w:fldCharType="end"/>
      </w:r>
    </w:p>
    <w:p w:rsidR="000E466B" w:rsidRPr="00631948" w:rsidRDefault="000E466B" w:rsidP="00BE212C">
      <w:pPr>
        <w:rPr>
          <w:lang w:val="en-US"/>
        </w:rPr>
      </w:pPr>
    </w:p>
    <w:p w:rsidR="00F54349" w:rsidRPr="00631948" w:rsidRDefault="00F54349" w:rsidP="00574170">
      <w:pPr>
        <w:keepNext/>
        <w:jc w:val="center"/>
        <w:rPr>
          <w:lang w:val="en-US"/>
        </w:rPr>
      </w:pPr>
    </w:p>
    <w:p w:rsidR="00FD5382" w:rsidRDefault="00E601BF" w:rsidP="00FD5382">
      <w:pPr>
        <w:keepNext/>
        <w:jc w:val="center"/>
      </w:pPr>
      <w:r>
        <w:rPr>
          <w:noProof/>
          <w:lang w:eastAsia="fr-FR"/>
        </w:rPr>
        <w:drawing>
          <wp:inline distT="0" distB="0" distL="0" distR="0">
            <wp:extent cx="5270500" cy="5748655"/>
            <wp:effectExtent l="0" t="0" r="0" b="444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wi.pdf"/>
                    <pic:cNvPicPr/>
                  </pic:nvPicPr>
                  <pic:blipFill>
                    <a:blip r:embed="rId10">
                      <a:extLst>
                        <a:ext uri="{28A0092B-C50C-407E-A947-70E740481C1C}">
                          <a14:useLocalDpi xmlns:a14="http://schemas.microsoft.com/office/drawing/2010/main" val="0"/>
                        </a:ext>
                      </a:extLst>
                    </a:blip>
                    <a:stretch>
                      <a:fillRect/>
                    </a:stretch>
                  </pic:blipFill>
                  <pic:spPr>
                    <a:xfrm>
                      <a:off x="0" y="0"/>
                      <a:ext cx="5270500" cy="5748655"/>
                    </a:xfrm>
                    <a:prstGeom prst="rect">
                      <a:avLst/>
                    </a:prstGeom>
                  </pic:spPr>
                </pic:pic>
              </a:graphicData>
            </a:graphic>
          </wp:inline>
        </w:drawing>
      </w:r>
    </w:p>
    <w:p w:rsidR="00FD5382" w:rsidRPr="00FD5382" w:rsidRDefault="00FD5382" w:rsidP="00FD5382">
      <w:pPr>
        <w:pStyle w:val="Lgende"/>
      </w:pPr>
      <w:r w:rsidRPr="00FD5382">
        <w:t xml:space="preserve">Figure </w:t>
      </w:r>
      <w:r w:rsidR="00407EF2">
        <w:fldChar w:fldCharType="begin"/>
      </w:r>
      <w:r w:rsidR="00407EF2">
        <w:instrText xml:space="preserve"> SEQ Figure \* ARABIC </w:instrText>
      </w:r>
      <w:r w:rsidR="00407EF2">
        <w:fldChar w:fldCharType="separate"/>
      </w:r>
      <w:r w:rsidRPr="00FD5382">
        <w:t>2</w:t>
      </w:r>
      <w:r w:rsidR="00407EF2">
        <w:fldChar w:fldCharType="end"/>
      </w:r>
      <w:r w:rsidRPr="00FD5382">
        <w:t xml:space="preserve"> Inversion de formes d’onde entre forages. La rangée du haut représent</w:t>
      </w:r>
      <w:r w:rsidR="00016086">
        <w:t>e</w:t>
      </w:r>
      <w:r w:rsidRPr="00FD5382">
        <w:t xml:space="preserve"> le modèle vrai, la rangée du milieu le modèle inversé et la rangée du bas les données observées, calculées du modèle initial et calculé</w:t>
      </w:r>
      <w:r w:rsidR="00016086">
        <w:t>es</w:t>
      </w:r>
      <w:r w:rsidRPr="00FD5382">
        <w:t xml:space="preserve"> du modèle après inversion.</w:t>
      </w:r>
    </w:p>
    <w:sectPr w:rsidR="00FD5382" w:rsidRPr="00FD5382" w:rsidSect="0061460C">
      <w:headerReference w:type="default" r:id="rId11"/>
      <w:pgSz w:w="11900" w:h="16840"/>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7EF2" w:rsidRDefault="00407EF2" w:rsidP="002737AA">
      <w:r>
        <w:separator/>
      </w:r>
    </w:p>
  </w:endnote>
  <w:endnote w:type="continuationSeparator" w:id="0">
    <w:p w:rsidR="00407EF2" w:rsidRDefault="00407EF2" w:rsidP="002737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7EF2" w:rsidRDefault="00407EF2" w:rsidP="002737AA">
      <w:r>
        <w:separator/>
      </w:r>
    </w:p>
  </w:footnote>
  <w:footnote w:type="continuationSeparator" w:id="0">
    <w:p w:rsidR="00407EF2" w:rsidRDefault="00407EF2" w:rsidP="002737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2AA6" w:rsidRPr="002737AA" w:rsidRDefault="00172AA6" w:rsidP="002737AA">
    <w:pPr>
      <w:pStyle w:val="En-tte"/>
      <w:jc w:val="center"/>
      <w:rPr>
        <w:i/>
        <w:iCs/>
        <w:szCs w:val="20"/>
      </w:rPr>
    </w:pPr>
    <w:r w:rsidRPr="002737AA">
      <w:rPr>
        <w:i/>
        <w:iCs/>
        <w:szCs w:val="20"/>
      </w:rPr>
      <w:t>Journées scientifiques de l’AGAP Qualité du 28 au 30 octobre 2019:</w:t>
    </w:r>
  </w:p>
  <w:p w:rsidR="00172AA6" w:rsidRPr="002737AA" w:rsidRDefault="00172AA6" w:rsidP="002737AA">
    <w:pPr>
      <w:pStyle w:val="En-tte"/>
      <w:jc w:val="center"/>
      <w:rPr>
        <w:i/>
        <w:iCs/>
        <w:szCs w:val="20"/>
      </w:rPr>
    </w:pPr>
  </w:p>
  <w:p w:rsidR="00172AA6" w:rsidRDefault="00172AA6" w:rsidP="002737AA">
    <w:pPr>
      <w:pStyle w:val="En-tte"/>
      <w:jc w:val="center"/>
      <w:rPr>
        <w:i/>
        <w:iCs/>
        <w:szCs w:val="20"/>
      </w:rPr>
    </w:pPr>
    <w:r w:rsidRPr="002737AA">
      <w:rPr>
        <w:i/>
        <w:iCs/>
        <w:szCs w:val="20"/>
      </w:rPr>
      <w:t xml:space="preserve">« Avancées récentes en </w:t>
    </w:r>
    <w:r>
      <w:rPr>
        <w:i/>
        <w:iCs/>
        <w:szCs w:val="20"/>
      </w:rPr>
      <w:t>inversion de formes d’onde de</w:t>
    </w:r>
    <w:r w:rsidRPr="002737AA">
      <w:rPr>
        <w:i/>
        <w:iCs/>
        <w:szCs w:val="20"/>
      </w:rPr>
      <w:t xml:space="preserve"> </w:t>
    </w:r>
    <w:r>
      <w:rPr>
        <w:i/>
        <w:iCs/>
        <w:szCs w:val="20"/>
      </w:rPr>
      <w:t>p</w:t>
    </w:r>
    <w:r w:rsidRPr="002737AA">
      <w:rPr>
        <w:i/>
        <w:iCs/>
        <w:szCs w:val="20"/>
      </w:rPr>
      <w:t>roche surface»</w:t>
    </w:r>
  </w:p>
  <w:p w:rsidR="00172AA6" w:rsidRPr="002737AA" w:rsidRDefault="00172AA6" w:rsidP="002737AA">
    <w:pPr>
      <w:pStyle w:val="En-tte"/>
      <w:jc w:val="center"/>
      <w:rPr>
        <w:i/>
        <w:iCs/>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SEG expanded abstract&lt;/Style&gt;&lt;LeftDelim&gt;{&lt;/LeftDelim&gt;&lt;RightDelim&gt;}&lt;/RightDelim&gt;&lt;FontName&gt;Arial&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psd5par292dz4eep2cva0rnspeddaft5e2t&quot;&gt;My EndNote Library&lt;record-ids&gt;&lt;item&gt;630&lt;/item&gt;&lt;item&gt;650&lt;/item&gt;&lt;item&gt;652&lt;/item&gt;&lt;item&gt;663&lt;/item&gt;&lt;item&gt;702&lt;/item&gt;&lt;item&gt;720&lt;/item&gt;&lt;item&gt;729&lt;/item&gt;&lt;/record-ids&gt;&lt;/item&gt;&lt;/Libraries&gt;"/>
  </w:docVars>
  <w:rsids>
    <w:rsidRoot w:val="002737AA"/>
    <w:rsid w:val="00016086"/>
    <w:rsid w:val="00020CC2"/>
    <w:rsid w:val="00070FC2"/>
    <w:rsid w:val="000947AF"/>
    <w:rsid w:val="000A395E"/>
    <w:rsid w:val="000C7A30"/>
    <w:rsid w:val="000E466B"/>
    <w:rsid w:val="00103A3A"/>
    <w:rsid w:val="001520CB"/>
    <w:rsid w:val="001722AC"/>
    <w:rsid w:val="00172AA6"/>
    <w:rsid w:val="00174818"/>
    <w:rsid w:val="00177F1D"/>
    <w:rsid w:val="001A4653"/>
    <w:rsid w:val="001A6FB6"/>
    <w:rsid w:val="001C07A1"/>
    <w:rsid w:val="001C1524"/>
    <w:rsid w:val="001D0638"/>
    <w:rsid w:val="001E0524"/>
    <w:rsid w:val="00213B88"/>
    <w:rsid w:val="00216D3D"/>
    <w:rsid w:val="00227588"/>
    <w:rsid w:val="00267D11"/>
    <w:rsid w:val="002737AA"/>
    <w:rsid w:val="0027631F"/>
    <w:rsid w:val="0029399A"/>
    <w:rsid w:val="002A1D51"/>
    <w:rsid w:val="002A3B80"/>
    <w:rsid w:val="002F6011"/>
    <w:rsid w:val="00343461"/>
    <w:rsid w:val="00373909"/>
    <w:rsid w:val="003A7559"/>
    <w:rsid w:val="00402712"/>
    <w:rsid w:val="00407EF2"/>
    <w:rsid w:val="0041216D"/>
    <w:rsid w:val="00433D19"/>
    <w:rsid w:val="00453A46"/>
    <w:rsid w:val="00455D28"/>
    <w:rsid w:val="00495A71"/>
    <w:rsid w:val="004A153F"/>
    <w:rsid w:val="004C35E6"/>
    <w:rsid w:val="004C58BB"/>
    <w:rsid w:val="004D348A"/>
    <w:rsid w:val="004E38D3"/>
    <w:rsid w:val="004F5AFD"/>
    <w:rsid w:val="0051516B"/>
    <w:rsid w:val="005451A7"/>
    <w:rsid w:val="00574170"/>
    <w:rsid w:val="0061460C"/>
    <w:rsid w:val="00631948"/>
    <w:rsid w:val="006338CE"/>
    <w:rsid w:val="00635D96"/>
    <w:rsid w:val="0067687B"/>
    <w:rsid w:val="006810E7"/>
    <w:rsid w:val="006B0FC4"/>
    <w:rsid w:val="007253A3"/>
    <w:rsid w:val="0073115D"/>
    <w:rsid w:val="007569C0"/>
    <w:rsid w:val="0078355A"/>
    <w:rsid w:val="007F6F63"/>
    <w:rsid w:val="00806C2D"/>
    <w:rsid w:val="008443AC"/>
    <w:rsid w:val="008C59CA"/>
    <w:rsid w:val="008D3792"/>
    <w:rsid w:val="008F08B3"/>
    <w:rsid w:val="00903856"/>
    <w:rsid w:val="00913AA9"/>
    <w:rsid w:val="00934017"/>
    <w:rsid w:val="00935351"/>
    <w:rsid w:val="009470A4"/>
    <w:rsid w:val="00947366"/>
    <w:rsid w:val="0095130C"/>
    <w:rsid w:val="00954A0B"/>
    <w:rsid w:val="0095558E"/>
    <w:rsid w:val="00966D64"/>
    <w:rsid w:val="009F49F9"/>
    <w:rsid w:val="00A27A50"/>
    <w:rsid w:val="00A40A62"/>
    <w:rsid w:val="00A51AB0"/>
    <w:rsid w:val="00A932B3"/>
    <w:rsid w:val="00AB6736"/>
    <w:rsid w:val="00AD2640"/>
    <w:rsid w:val="00AE6CEA"/>
    <w:rsid w:val="00B24A33"/>
    <w:rsid w:val="00B34137"/>
    <w:rsid w:val="00B356B7"/>
    <w:rsid w:val="00B401FD"/>
    <w:rsid w:val="00B52F02"/>
    <w:rsid w:val="00B537DA"/>
    <w:rsid w:val="00BB6086"/>
    <w:rsid w:val="00BB6E82"/>
    <w:rsid w:val="00BC4B6A"/>
    <w:rsid w:val="00BE0DD2"/>
    <w:rsid w:val="00BE212C"/>
    <w:rsid w:val="00C5099E"/>
    <w:rsid w:val="00C54E36"/>
    <w:rsid w:val="00C55CAC"/>
    <w:rsid w:val="00C56691"/>
    <w:rsid w:val="00C83059"/>
    <w:rsid w:val="00C9350F"/>
    <w:rsid w:val="00CC48FD"/>
    <w:rsid w:val="00CD1D34"/>
    <w:rsid w:val="00CF2B5A"/>
    <w:rsid w:val="00D05AE0"/>
    <w:rsid w:val="00D14003"/>
    <w:rsid w:val="00D2174E"/>
    <w:rsid w:val="00D2732C"/>
    <w:rsid w:val="00D4484B"/>
    <w:rsid w:val="00D5230A"/>
    <w:rsid w:val="00D60FB4"/>
    <w:rsid w:val="00D66557"/>
    <w:rsid w:val="00DB3731"/>
    <w:rsid w:val="00DB547C"/>
    <w:rsid w:val="00DB643B"/>
    <w:rsid w:val="00DD34CD"/>
    <w:rsid w:val="00E17414"/>
    <w:rsid w:val="00E601BF"/>
    <w:rsid w:val="00E64B01"/>
    <w:rsid w:val="00EA2334"/>
    <w:rsid w:val="00EB105F"/>
    <w:rsid w:val="00F1521E"/>
    <w:rsid w:val="00F25C1D"/>
    <w:rsid w:val="00F54349"/>
    <w:rsid w:val="00FB1087"/>
    <w:rsid w:val="00FD43C3"/>
    <w:rsid w:val="00FD538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4E36"/>
    <w:pPr>
      <w:jc w:val="both"/>
    </w:pPr>
    <w:rPr>
      <w:rFonts w:ascii="Arial" w:eastAsiaTheme="minorEastAsia" w:hAnsi="Arial"/>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737AA"/>
    <w:pPr>
      <w:tabs>
        <w:tab w:val="center" w:pos="4153"/>
        <w:tab w:val="right" w:pos="8306"/>
      </w:tabs>
    </w:pPr>
  </w:style>
  <w:style w:type="character" w:customStyle="1" w:styleId="En-tteCar">
    <w:name w:val="En-tête Car"/>
    <w:basedOn w:val="Policepardfaut"/>
    <w:link w:val="En-tte"/>
    <w:uiPriority w:val="99"/>
    <w:rsid w:val="002737AA"/>
    <w:rPr>
      <w:rFonts w:eastAsiaTheme="minorEastAsia"/>
    </w:rPr>
  </w:style>
  <w:style w:type="paragraph" w:styleId="Pieddepage">
    <w:name w:val="footer"/>
    <w:basedOn w:val="Normal"/>
    <w:link w:val="PieddepageCar"/>
    <w:uiPriority w:val="99"/>
    <w:unhideWhenUsed/>
    <w:rsid w:val="002737AA"/>
    <w:pPr>
      <w:tabs>
        <w:tab w:val="center" w:pos="4153"/>
        <w:tab w:val="right" w:pos="8306"/>
      </w:tabs>
    </w:pPr>
  </w:style>
  <w:style w:type="character" w:customStyle="1" w:styleId="PieddepageCar">
    <w:name w:val="Pied de page Car"/>
    <w:basedOn w:val="Policepardfaut"/>
    <w:link w:val="Pieddepage"/>
    <w:uiPriority w:val="99"/>
    <w:rsid w:val="002737AA"/>
    <w:rPr>
      <w:rFonts w:eastAsiaTheme="minorEastAsia"/>
    </w:rPr>
  </w:style>
  <w:style w:type="character" w:styleId="Lienhypertexte">
    <w:name w:val="Hyperlink"/>
    <w:basedOn w:val="Policepardfaut"/>
    <w:uiPriority w:val="99"/>
    <w:unhideWhenUsed/>
    <w:rsid w:val="002737AA"/>
    <w:rPr>
      <w:color w:val="0563C1" w:themeColor="hyperlink"/>
      <w:u w:val="single"/>
    </w:rPr>
  </w:style>
  <w:style w:type="character" w:customStyle="1" w:styleId="UnresolvedMention">
    <w:name w:val="Unresolved Mention"/>
    <w:basedOn w:val="Policepardfaut"/>
    <w:uiPriority w:val="99"/>
    <w:rsid w:val="002737AA"/>
    <w:rPr>
      <w:color w:val="605E5C"/>
      <w:shd w:val="clear" w:color="auto" w:fill="E1DFDD"/>
    </w:rPr>
  </w:style>
  <w:style w:type="character" w:styleId="Textedelespacerserv">
    <w:name w:val="Placeholder Text"/>
    <w:basedOn w:val="Policepardfaut"/>
    <w:uiPriority w:val="99"/>
    <w:semiHidden/>
    <w:rsid w:val="0073115D"/>
    <w:rPr>
      <w:color w:val="808080"/>
    </w:rPr>
  </w:style>
  <w:style w:type="paragraph" w:customStyle="1" w:styleId="EndNoteBibliographyTitle">
    <w:name w:val="EndNote Bibliography Title"/>
    <w:basedOn w:val="Normal"/>
    <w:link w:val="EndNoteBibliographyTitleCar"/>
    <w:rsid w:val="00FB1087"/>
    <w:pPr>
      <w:jc w:val="center"/>
    </w:pPr>
    <w:rPr>
      <w:rFonts w:cs="Arial"/>
      <w:sz w:val="18"/>
      <w:lang w:val="en-US"/>
    </w:rPr>
  </w:style>
  <w:style w:type="character" w:customStyle="1" w:styleId="EndNoteBibliographyTitleCar">
    <w:name w:val="EndNote Bibliography Title Car"/>
    <w:basedOn w:val="Policepardfaut"/>
    <w:link w:val="EndNoteBibliographyTitle"/>
    <w:rsid w:val="00FB1087"/>
    <w:rPr>
      <w:rFonts w:ascii="Arial" w:eastAsiaTheme="minorEastAsia" w:hAnsi="Arial" w:cs="Arial"/>
      <w:sz w:val="18"/>
      <w:lang w:val="en-US"/>
    </w:rPr>
  </w:style>
  <w:style w:type="paragraph" w:customStyle="1" w:styleId="EndNoteBibliography">
    <w:name w:val="EndNote Bibliography"/>
    <w:basedOn w:val="Normal"/>
    <w:link w:val="EndNoteBibliographyCar"/>
    <w:rsid w:val="00FB1087"/>
    <w:pPr>
      <w:jc w:val="center"/>
    </w:pPr>
    <w:rPr>
      <w:rFonts w:cs="Arial"/>
      <w:sz w:val="18"/>
      <w:lang w:val="en-US"/>
    </w:rPr>
  </w:style>
  <w:style w:type="character" w:customStyle="1" w:styleId="EndNoteBibliographyCar">
    <w:name w:val="EndNote Bibliography Car"/>
    <w:basedOn w:val="Policepardfaut"/>
    <w:link w:val="EndNoteBibliography"/>
    <w:rsid w:val="00FB1087"/>
    <w:rPr>
      <w:rFonts w:ascii="Arial" w:eastAsiaTheme="minorEastAsia" w:hAnsi="Arial" w:cs="Arial"/>
      <w:sz w:val="18"/>
      <w:lang w:val="en-US"/>
    </w:rPr>
  </w:style>
  <w:style w:type="paragraph" w:styleId="Lgende">
    <w:name w:val="caption"/>
    <w:basedOn w:val="Normal"/>
    <w:next w:val="Normal"/>
    <w:uiPriority w:val="35"/>
    <w:unhideWhenUsed/>
    <w:qFormat/>
    <w:rsid w:val="008D3792"/>
    <w:pPr>
      <w:spacing w:after="200"/>
      <w:jc w:val="left"/>
    </w:pPr>
    <w:rPr>
      <w:b/>
      <w:iCs/>
      <w:color w:val="000000" w:themeColor="text1"/>
      <w:sz w:val="16"/>
      <w:szCs w:val="18"/>
    </w:rPr>
  </w:style>
  <w:style w:type="table" w:styleId="Grilledutableau">
    <w:name w:val="Table Grid"/>
    <w:basedOn w:val="TableauNormal"/>
    <w:uiPriority w:val="39"/>
    <w:rsid w:val="002A1D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4E36"/>
    <w:pPr>
      <w:jc w:val="both"/>
    </w:pPr>
    <w:rPr>
      <w:rFonts w:ascii="Arial" w:eastAsiaTheme="minorEastAsia" w:hAnsi="Arial"/>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737AA"/>
    <w:pPr>
      <w:tabs>
        <w:tab w:val="center" w:pos="4153"/>
        <w:tab w:val="right" w:pos="8306"/>
      </w:tabs>
    </w:pPr>
  </w:style>
  <w:style w:type="character" w:customStyle="1" w:styleId="En-tteCar">
    <w:name w:val="En-tête Car"/>
    <w:basedOn w:val="Policepardfaut"/>
    <w:link w:val="En-tte"/>
    <w:uiPriority w:val="99"/>
    <w:rsid w:val="002737AA"/>
    <w:rPr>
      <w:rFonts w:eastAsiaTheme="minorEastAsia"/>
    </w:rPr>
  </w:style>
  <w:style w:type="paragraph" w:styleId="Pieddepage">
    <w:name w:val="footer"/>
    <w:basedOn w:val="Normal"/>
    <w:link w:val="PieddepageCar"/>
    <w:uiPriority w:val="99"/>
    <w:unhideWhenUsed/>
    <w:rsid w:val="002737AA"/>
    <w:pPr>
      <w:tabs>
        <w:tab w:val="center" w:pos="4153"/>
        <w:tab w:val="right" w:pos="8306"/>
      </w:tabs>
    </w:pPr>
  </w:style>
  <w:style w:type="character" w:customStyle="1" w:styleId="PieddepageCar">
    <w:name w:val="Pied de page Car"/>
    <w:basedOn w:val="Policepardfaut"/>
    <w:link w:val="Pieddepage"/>
    <w:uiPriority w:val="99"/>
    <w:rsid w:val="002737AA"/>
    <w:rPr>
      <w:rFonts w:eastAsiaTheme="minorEastAsia"/>
    </w:rPr>
  </w:style>
  <w:style w:type="character" w:styleId="Lienhypertexte">
    <w:name w:val="Hyperlink"/>
    <w:basedOn w:val="Policepardfaut"/>
    <w:uiPriority w:val="99"/>
    <w:unhideWhenUsed/>
    <w:rsid w:val="002737AA"/>
    <w:rPr>
      <w:color w:val="0563C1" w:themeColor="hyperlink"/>
      <w:u w:val="single"/>
    </w:rPr>
  </w:style>
  <w:style w:type="character" w:customStyle="1" w:styleId="UnresolvedMention">
    <w:name w:val="Unresolved Mention"/>
    <w:basedOn w:val="Policepardfaut"/>
    <w:uiPriority w:val="99"/>
    <w:rsid w:val="002737AA"/>
    <w:rPr>
      <w:color w:val="605E5C"/>
      <w:shd w:val="clear" w:color="auto" w:fill="E1DFDD"/>
    </w:rPr>
  </w:style>
  <w:style w:type="character" w:styleId="Textedelespacerserv">
    <w:name w:val="Placeholder Text"/>
    <w:basedOn w:val="Policepardfaut"/>
    <w:uiPriority w:val="99"/>
    <w:semiHidden/>
    <w:rsid w:val="0073115D"/>
    <w:rPr>
      <w:color w:val="808080"/>
    </w:rPr>
  </w:style>
  <w:style w:type="paragraph" w:customStyle="1" w:styleId="EndNoteBibliographyTitle">
    <w:name w:val="EndNote Bibliography Title"/>
    <w:basedOn w:val="Normal"/>
    <w:link w:val="EndNoteBibliographyTitleCar"/>
    <w:rsid w:val="00FB1087"/>
    <w:pPr>
      <w:jc w:val="center"/>
    </w:pPr>
    <w:rPr>
      <w:rFonts w:cs="Arial"/>
      <w:sz w:val="18"/>
      <w:lang w:val="en-US"/>
    </w:rPr>
  </w:style>
  <w:style w:type="character" w:customStyle="1" w:styleId="EndNoteBibliographyTitleCar">
    <w:name w:val="EndNote Bibliography Title Car"/>
    <w:basedOn w:val="Policepardfaut"/>
    <w:link w:val="EndNoteBibliographyTitle"/>
    <w:rsid w:val="00FB1087"/>
    <w:rPr>
      <w:rFonts w:ascii="Arial" w:eastAsiaTheme="minorEastAsia" w:hAnsi="Arial" w:cs="Arial"/>
      <w:sz w:val="18"/>
      <w:lang w:val="en-US"/>
    </w:rPr>
  </w:style>
  <w:style w:type="paragraph" w:customStyle="1" w:styleId="EndNoteBibliography">
    <w:name w:val="EndNote Bibliography"/>
    <w:basedOn w:val="Normal"/>
    <w:link w:val="EndNoteBibliographyCar"/>
    <w:rsid w:val="00FB1087"/>
    <w:pPr>
      <w:jc w:val="center"/>
    </w:pPr>
    <w:rPr>
      <w:rFonts w:cs="Arial"/>
      <w:sz w:val="18"/>
      <w:lang w:val="en-US"/>
    </w:rPr>
  </w:style>
  <w:style w:type="character" w:customStyle="1" w:styleId="EndNoteBibliographyCar">
    <w:name w:val="EndNote Bibliography Car"/>
    <w:basedOn w:val="Policepardfaut"/>
    <w:link w:val="EndNoteBibliography"/>
    <w:rsid w:val="00FB1087"/>
    <w:rPr>
      <w:rFonts w:ascii="Arial" w:eastAsiaTheme="minorEastAsia" w:hAnsi="Arial" w:cs="Arial"/>
      <w:sz w:val="18"/>
      <w:lang w:val="en-US"/>
    </w:rPr>
  </w:style>
  <w:style w:type="paragraph" w:styleId="Lgende">
    <w:name w:val="caption"/>
    <w:basedOn w:val="Normal"/>
    <w:next w:val="Normal"/>
    <w:uiPriority w:val="35"/>
    <w:unhideWhenUsed/>
    <w:qFormat/>
    <w:rsid w:val="008D3792"/>
    <w:pPr>
      <w:spacing w:after="200"/>
      <w:jc w:val="left"/>
    </w:pPr>
    <w:rPr>
      <w:b/>
      <w:iCs/>
      <w:color w:val="000000" w:themeColor="text1"/>
      <w:sz w:val="16"/>
      <w:szCs w:val="18"/>
    </w:rPr>
  </w:style>
  <w:style w:type="table" w:styleId="Grilledutableau">
    <w:name w:val="Table Grid"/>
    <w:basedOn w:val="TableauNormal"/>
    <w:uiPriority w:val="39"/>
    <w:rsid w:val="002A1D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3579772">
      <w:bodyDiv w:val="1"/>
      <w:marLeft w:val="0"/>
      <w:marRight w:val="0"/>
      <w:marTop w:val="0"/>
      <w:marBottom w:val="0"/>
      <w:divBdr>
        <w:top w:val="none" w:sz="0" w:space="0" w:color="auto"/>
        <w:left w:val="none" w:sz="0" w:space="0" w:color="auto"/>
        <w:bottom w:val="none" w:sz="0" w:space="0" w:color="auto"/>
        <w:right w:val="none" w:sz="0" w:space="0" w:color="auto"/>
      </w:divBdr>
    </w:div>
    <w:div w:id="775907478">
      <w:bodyDiv w:val="1"/>
      <w:marLeft w:val="0"/>
      <w:marRight w:val="0"/>
      <w:marTop w:val="0"/>
      <w:marBottom w:val="0"/>
      <w:divBdr>
        <w:top w:val="none" w:sz="0" w:space="0" w:color="auto"/>
        <w:left w:val="none" w:sz="0" w:space="0" w:color="auto"/>
        <w:bottom w:val="none" w:sz="0" w:space="0" w:color="auto"/>
        <w:right w:val="none" w:sz="0" w:space="0" w:color="auto"/>
      </w:divBdr>
      <w:divsChild>
        <w:div w:id="1442066717">
          <w:marLeft w:val="0"/>
          <w:marRight w:val="0"/>
          <w:marTop w:val="0"/>
          <w:marBottom w:val="0"/>
          <w:divBdr>
            <w:top w:val="none" w:sz="0" w:space="0" w:color="auto"/>
            <w:left w:val="none" w:sz="0" w:space="0" w:color="auto"/>
            <w:bottom w:val="none" w:sz="0" w:space="0" w:color="auto"/>
            <w:right w:val="none" w:sz="0" w:space="0" w:color="auto"/>
          </w:divBdr>
          <w:divsChild>
            <w:div w:id="483473641">
              <w:marLeft w:val="0"/>
              <w:marRight w:val="0"/>
              <w:marTop w:val="0"/>
              <w:marBottom w:val="0"/>
              <w:divBdr>
                <w:top w:val="none" w:sz="0" w:space="0" w:color="auto"/>
                <w:left w:val="none" w:sz="0" w:space="0" w:color="auto"/>
                <w:bottom w:val="none" w:sz="0" w:space="0" w:color="auto"/>
                <w:right w:val="none" w:sz="0" w:space="0" w:color="auto"/>
              </w:divBdr>
              <w:divsChild>
                <w:div w:id="149712557">
                  <w:marLeft w:val="0"/>
                  <w:marRight w:val="0"/>
                  <w:marTop w:val="0"/>
                  <w:marBottom w:val="0"/>
                  <w:divBdr>
                    <w:top w:val="none" w:sz="0" w:space="0" w:color="auto"/>
                    <w:left w:val="none" w:sz="0" w:space="0" w:color="auto"/>
                    <w:bottom w:val="none" w:sz="0" w:space="0" w:color="auto"/>
                    <w:right w:val="none" w:sz="0" w:space="0" w:color="auto"/>
                  </w:divBdr>
                  <w:divsChild>
                    <w:div w:id="60427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briel.fabien-ouellet@polymtl.ca" TargetMode="Externa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50FB9-53B6-4DEC-9243-B56C8E149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3124</Words>
  <Characters>17184</Characters>
  <Application>Microsoft Office Word</Application>
  <DocSecurity>0</DocSecurity>
  <Lines>143</Lines>
  <Paragraphs>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20268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 Fabien-Ouellet</dc:creator>
  <cp:lastModifiedBy>PKB</cp:lastModifiedBy>
  <cp:revision>2</cp:revision>
  <dcterms:created xsi:type="dcterms:W3CDTF">2019-10-21T09:05:00Z</dcterms:created>
  <dcterms:modified xsi:type="dcterms:W3CDTF">2019-10-21T09:05:00Z</dcterms:modified>
</cp:coreProperties>
</file>