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625" w:rsidRDefault="000B63F0" w:rsidP="002C6619">
      <w:pPr>
        <w:jc w:val="both"/>
        <w:rPr>
          <w:rFonts w:ascii="Arial" w:hAnsi="Arial" w:cs="Arial"/>
          <w:b/>
          <w:sz w:val="28"/>
          <w:szCs w:val="28"/>
        </w:rPr>
      </w:pPr>
      <w:r w:rsidRPr="000B63F0">
        <w:rPr>
          <w:rFonts w:ascii="Arial" w:hAnsi="Arial" w:cs="Arial"/>
          <w:b/>
          <w:sz w:val="28"/>
          <w:szCs w:val="28"/>
        </w:rPr>
        <w:t>Auscultation non destructive des digues par la méthode du potentiel spontané</w:t>
      </w:r>
    </w:p>
    <w:p w:rsidR="004310DB" w:rsidRPr="004310DB" w:rsidRDefault="004310DB" w:rsidP="002C6619">
      <w:pPr>
        <w:widowControl w:val="0"/>
        <w:tabs>
          <w:tab w:val="left" w:pos="1350"/>
        </w:tabs>
        <w:spacing w:line="240" w:lineRule="auto"/>
        <w:jc w:val="both"/>
        <w:rPr>
          <w:rFonts w:ascii="Arial" w:hAnsi="Arial" w:cs="Arial"/>
          <w:b/>
          <w:sz w:val="20"/>
          <w:szCs w:val="20"/>
          <w:vertAlign w:val="superscript"/>
          <w:lang w:val="en-US"/>
        </w:rPr>
      </w:pPr>
      <w:r w:rsidRPr="004310DB">
        <w:rPr>
          <w:rFonts w:ascii="Arial" w:hAnsi="Arial" w:cs="Arial"/>
          <w:b/>
          <w:sz w:val="20"/>
          <w:szCs w:val="20"/>
          <w:u w:val="single"/>
          <w:lang w:val="en-US"/>
        </w:rPr>
        <w:t xml:space="preserve">A. </w:t>
      </w:r>
      <w:proofErr w:type="spellStart"/>
      <w:r w:rsidRPr="004310DB">
        <w:rPr>
          <w:rFonts w:ascii="Arial" w:hAnsi="Arial" w:cs="Arial"/>
          <w:b/>
          <w:sz w:val="20"/>
          <w:szCs w:val="20"/>
          <w:u w:val="single"/>
          <w:lang w:val="en-US"/>
        </w:rPr>
        <w:t>Soueid</w:t>
      </w:r>
      <w:proofErr w:type="spellEnd"/>
      <w:r w:rsidRPr="004310DB">
        <w:rPr>
          <w:rFonts w:ascii="Arial" w:hAnsi="Arial" w:cs="Arial"/>
          <w:b/>
          <w:sz w:val="20"/>
          <w:szCs w:val="20"/>
          <w:u w:val="single"/>
          <w:lang w:val="en-US"/>
        </w:rPr>
        <w:t xml:space="preserve"> Ahmed</w:t>
      </w:r>
      <w:r w:rsidRPr="004310DB">
        <w:rPr>
          <w:rFonts w:ascii="Arial" w:hAnsi="Arial" w:cs="Arial"/>
          <w:b/>
          <w:sz w:val="20"/>
          <w:szCs w:val="20"/>
          <w:u w:val="single"/>
          <w:vertAlign w:val="superscript"/>
          <w:lang w:val="en-US"/>
        </w:rPr>
        <w:t>1</w:t>
      </w:r>
      <w:r w:rsidRPr="004310DB">
        <w:rPr>
          <w:rFonts w:ascii="Arial" w:hAnsi="Arial" w:cs="Arial"/>
          <w:b/>
          <w:sz w:val="20"/>
          <w:szCs w:val="20"/>
          <w:lang w:val="en-US"/>
        </w:rPr>
        <w:t>,</w:t>
      </w:r>
      <w:r>
        <w:rPr>
          <w:rFonts w:ascii="Arial" w:hAnsi="Arial" w:cs="Arial"/>
          <w:b/>
          <w:sz w:val="20"/>
          <w:szCs w:val="20"/>
          <w:lang w:val="en-US"/>
        </w:rPr>
        <w:t xml:space="preserve"> </w:t>
      </w:r>
      <w:r w:rsidRPr="004310DB">
        <w:rPr>
          <w:rFonts w:ascii="Arial" w:hAnsi="Arial" w:cs="Arial"/>
          <w:b/>
          <w:sz w:val="20"/>
          <w:szCs w:val="20"/>
          <w:lang w:val="en-US"/>
        </w:rPr>
        <w:t>B. Steck</w:t>
      </w:r>
      <w:r w:rsidRPr="004310DB">
        <w:rPr>
          <w:rFonts w:ascii="Arial" w:hAnsi="Arial" w:cs="Arial"/>
          <w:b/>
          <w:sz w:val="20"/>
          <w:szCs w:val="20"/>
          <w:vertAlign w:val="superscript"/>
          <w:lang w:val="en-US"/>
        </w:rPr>
        <w:t>2</w:t>
      </w:r>
      <w:r w:rsidRPr="004310DB">
        <w:rPr>
          <w:rFonts w:ascii="Arial" w:hAnsi="Arial" w:cs="Arial"/>
          <w:b/>
          <w:sz w:val="20"/>
          <w:szCs w:val="20"/>
          <w:lang w:val="en-US"/>
        </w:rPr>
        <w:t>, C. Vergniault</w:t>
      </w:r>
      <w:r w:rsidRPr="004310DB">
        <w:rPr>
          <w:rFonts w:ascii="Arial" w:hAnsi="Arial" w:cs="Arial"/>
          <w:b/>
          <w:sz w:val="20"/>
          <w:szCs w:val="20"/>
          <w:vertAlign w:val="superscript"/>
          <w:lang w:val="en-US"/>
        </w:rPr>
        <w:t>3</w:t>
      </w:r>
      <w:r>
        <w:rPr>
          <w:rFonts w:ascii="Arial" w:hAnsi="Arial" w:cs="Arial"/>
          <w:sz w:val="20"/>
          <w:szCs w:val="20"/>
          <w:lang w:val="en-US"/>
        </w:rPr>
        <w:t>,</w:t>
      </w:r>
      <w:r w:rsidRPr="004310DB">
        <w:rPr>
          <w:rFonts w:ascii="Arial" w:hAnsi="Arial" w:cs="Arial"/>
          <w:b/>
          <w:sz w:val="20"/>
          <w:szCs w:val="20"/>
          <w:lang w:val="en-US"/>
        </w:rPr>
        <w:t xml:space="preserve"> A. Revil</w:t>
      </w:r>
      <w:r w:rsidRPr="004310DB">
        <w:rPr>
          <w:rFonts w:ascii="Arial" w:hAnsi="Arial" w:cs="Arial"/>
          <w:b/>
          <w:sz w:val="20"/>
          <w:szCs w:val="20"/>
          <w:vertAlign w:val="superscript"/>
          <w:lang w:val="en-US"/>
        </w:rPr>
        <w:t>1</w:t>
      </w:r>
      <w:r w:rsidRPr="004310DB">
        <w:rPr>
          <w:rFonts w:ascii="Arial" w:hAnsi="Arial" w:cs="Arial"/>
          <w:b/>
          <w:sz w:val="20"/>
          <w:szCs w:val="20"/>
          <w:lang w:val="en-US"/>
        </w:rPr>
        <w:t>, A. Bolève</w:t>
      </w:r>
      <w:r>
        <w:rPr>
          <w:rFonts w:ascii="Arial" w:hAnsi="Arial" w:cs="Arial"/>
          <w:b/>
          <w:sz w:val="20"/>
          <w:szCs w:val="20"/>
          <w:vertAlign w:val="superscript"/>
          <w:lang w:val="en-US"/>
        </w:rPr>
        <w:t>4</w:t>
      </w:r>
    </w:p>
    <w:p w:rsidR="004310DB" w:rsidRPr="004310DB" w:rsidRDefault="004310DB" w:rsidP="002C6619">
      <w:pPr>
        <w:spacing w:before="240" w:line="240" w:lineRule="auto"/>
        <w:ind w:right="-418"/>
        <w:contextualSpacing/>
        <w:jc w:val="both"/>
        <w:rPr>
          <w:rFonts w:ascii="Arial" w:hAnsi="Arial" w:cs="Arial"/>
          <w:sz w:val="20"/>
          <w:szCs w:val="20"/>
        </w:rPr>
      </w:pPr>
      <w:bookmarkStart w:id="0" w:name="_GoBack"/>
      <w:bookmarkEnd w:id="0"/>
      <w:r w:rsidRPr="004310DB">
        <w:rPr>
          <w:rFonts w:ascii="Arial" w:hAnsi="Arial" w:cs="Arial"/>
          <w:sz w:val="20"/>
          <w:szCs w:val="20"/>
        </w:rPr>
        <w:t xml:space="preserve">(1) </w:t>
      </w:r>
      <w:proofErr w:type="spellStart"/>
      <w:r w:rsidRPr="004310DB">
        <w:rPr>
          <w:rFonts w:ascii="Arial" w:hAnsi="Arial" w:cs="Arial"/>
          <w:sz w:val="20"/>
          <w:szCs w:val="20"/>
        </w:rPr>
        <w:t>Univ</w:t>
      </w:r>
      <w:proofErr w:type="spellEnd"/>
      <w:r w:rsidRPr="004310DB">
        <w:rPr>
          <w:rFonts w:ascii="Arial" w:hAnsi="Arial" w:cs="Arial"/>
          <w:sz w:val="20"/>
          <w:szCs w:val="20"/>
        </w:rPr>
        <w:t xml:space="preserve">. Grenoble Alpes, </w:t>
      </w:r>
      <w:proofErr w:type="spellStart"/>
      <w:r w:rsidRPr="004310DB">
        <w:rPr>
          <w:rFonts w:ascii="Arial" w:hAnsi="Arial" w:cs="Arial"/>
          <w:sz w:val="20"/>
          <w:szCs w:val="20"/>
        </w:rPr>
        <w:t>Univ</w:t>
      </w:r>
      <w:proofErr w:type="spellEnd"/>
      <w:r w:rsidRPr="004310DB">
        <w:rPr>
          <w:rFonts w:ascii="Arial" w:hAnsi="Arial" w:cs="Arial"/>
          <w:sz w:val="20"/>
          <w:szCs w:val="20"/>
        </w:rPr>
        <w:t xml:space="preserve">. Savoie Mont Blanc, CNRS, IRD, IFSTTAR, </w:t>
      </w:r>
      <w:proofErr w:type="spellStart"/>
      <w:r w:rsidRPr="004310DB">
        <w:rPr>
          <w:rFonts w:ascii="Arial" w:hAnsi="Arial" w:cs="Arial"/>
          <w:sz w:val="20"/>
          <w:szCs w:val="20"/>
        </w:rPr>
        <w:t>ISTerre</w:t>
      </w:r>
      <w:proofErr w:type="spellEnd"/>
      <w:r w:rsidRPr="004310DB">
        <w:rPr>
          <w:rFonts w:ascii="Arial" w:hAnsi="Arial" w:cs="Arial"/>
          <w:sz w:val="20"/>
          <w:szCs w:val="20"/>
        </w:rPr>
        <w:t>, 38000 Grenoble, France</w:t>
      </w:r>
    </w:p>
    <w:p w:rsidR="004310DB" w:rsidRPr="004310DB" w:rsidRDefault="004310DB" w:rsidP="002C6619">
      <w:pPr>
        <w:spacing w:before="240" w:line="240" w:lineRule="auto"/>
        <w:ind w:right="-418"/>
        <w:contextualSpacing/>
        <w:jc w:val="both"/>
        <w:rPr>
          <w:rFonts w:ascii="Arial" w:hAnsi="Arial" w:cs="Arial"/>
          <w:sz w:val="20"/>
        </w:rPr>
      </w:pPr>
      <w:r w:rsidRPr="004310DB">
        <w:rPr>
          <w:rFonts w:ascii="Arial" w:hAnsi="Arial" w:cs="Arial"/>
          <w:sz w:val="20"/>
          <w:szCs w:val="20"/>
        </w:rPr>
        <w:t xml:space="preserve">(2) EDF R&amp;D, 6 quai </w:t>
      </w:r>
      <w:proofErr w:type="spellStart"/>
      <w:r w:rsidRPr="004310DB">
        <w:rPr>
          <w:rFonts w:ascii="Arial" w:hAnsi="Arial" w:cs="Arial"/>
          <w:sz w:val="20"/>
          <w:szCs w:val="20"/>
        </w:rPr>
        <w:t>Watier</w:t>
      </w:r>
      <w:proofErr w:type="spellEnd"/>
      <w:r w:rsidRPr="004310DB">
        <w:rPr>
          <w:rFonts w:ascii="Arial" w:hAnsi="Arial" w:cs="Arial"/>
          <w:sz w:val="20"/>
          <w:szCs w:val="20"/>
        </w:rPr>
        <w:t xml:space="preserve">, 78400 Chatou, </w:t>
      </w:r>
      <w:r w:rsidRPr="004310DB">
        <w:rPr>
          <w:rFonts w:ascii="Arial" w:hAnsi="Arial" w:cs="Arial"/>
          <w:sz w:val="20"/>
        </w:rPr>
        <w:t>France</w:t>
      </w:r>
    </w:p>
    <w:p w:rsidR="004310DB" w:rsidRPr="004310DB" w:rsidRDefault="004310DB" w:rsidP="002C6619">
      <w:pPr>
        <w:spacing w:before="240" w:line="240" w:lineRule="auto"/>
        <w:ind w:right="-418"/>
        <w:contextualSpacing/>
        <w:jc w:val="both"/>
        <w:rPr>
          <w:rFonts w:ascii="Arial" w:hAnsi="Arial" w:cs="Arial"/>
          <w:sz w:val="20"/>
          <w:szCs w:val="20"/>
        </w:rPr>
      </w:pPr>
      <w:r w:rsidRPr="004310DB">
        <w:rPr>
          <w:rFonts w:ascii="Arial" w:hAnsi="Arial" w:cs="Arial"/>
          <w:sz w:val="20"/>
          <w:szCs w:val="20"/>
        </w:rPr>
        <w:t>(3) EDF DI-TEGG, 905 avenue du Camp de Menthe, 13097 Aix-en-Provence, France</w:t>
      </w:r>
    </w:p>
    <w:p w:rsidR="004310DB" w:rsidRPr="004310DB" w:rsidRDefault="004310DB" w:rsidP="002C6619">
      <w:pPr>
        <w:autoSpaceDE w:val="0"/>
        <w:autoSpaceDN w:val="0"/>
        <w:adjustRightInd w:val="0"/>
        <w:spacing w:after="0" w:line="240" w:lineRule="auto"/>
        <w:contextualSpacing/>
        <w:jc w:val="both"/>
        <w:rPr>
          <w:rFonts w:ascii="AdvTT94c8263f.I" w:hAnsi="AdvTT94c8263f.I" w:cs="AdvTT94c8263f.I"/>
          <w:sz w:val="13"/>
          <w:szCs w:val="13"/>
        </w:rPr>
      </w:pPr>
      <w:bookmarkStart w:id="1" w:name="OLE_LINK3"/>
      <w:bookmarkStart w:id="2" w:name="OLE_LINK4"/>
      <w:r w:rsidRPr="004310DB">
        <w:rPr>
          <w:rFonts w:ascii="Arial" w:hAnsi="Arial" w:cs="Arial"/>
          <w:sz w:val="20"/>
          <w:szCs w:val="20"/>
        </w:rPr>
        <w:t xml:space="preserve">(4) FUGRO, Savoie </w:t>
      </w:r>
      <w:proofErr w:type="spellStart"/>
      <w:r w:rsidRPr="004310DB">
        <w:rPr>
          <w:rFonts w:ascii="Arial" w:hAnsi="Arial" w:cs="Arial"/>
          <w:sz w:val="20"/>
          <w:szCs w:val="20"/>
        </w:rPr>
        <w:t>Technolac</w:t>
      </w:r>
      <w:proofErr w:type="spellEnd"/>
      <w:r w:rsidRPr="004310DB">
        <w:rPr>
          <w:rFonts w:ascii="Arial" w:hAnsi="Arial" w:cs="Arial"/>
          <w:sz w:val="20"/>
          <w:szCs w:val="20"/>
        </w:rPr>
        <w:t>, Le Bourget-du-Lac Cedex, France</w:t>
      </w:r>
    </w:p>
    <w:bookmarkEnd w:id="1"/>
    <w:bookmarkEnd w:id="2"/>
    <w:p w:rsidR="00A64878" w:rsidRDefault="00A64878" w:rsidP="002C6619">
      <w:pPr>
        <w:spacing w:after="0"/>
        <w:jc w:val="both"/>
        <w:rPr>
          <w:rFonts w:ascii="Arial" w:hAnsi="Arial" w:cs="Arial"/>
          <w:b/>
          <w:sz w:val="20"/>
          <w:szCs w:val="20"/>
        </w:rPr>
      </w:pPr>
    </w:p>
    <w:p w:rsidR="00A64878" w:rsidRDefault="00A64878" w:rsidP="002C6619">
      <w:pPr>
        <w:spacing w:after="0"/>
        <w:jc w:val="both"/>
        <w:rPr>
          <w:rFonts w:ascii="Arial" w:hAnsi="Arial" w:cs="Arial"/>
          <w:b/>
          <w:sz w:val="20"/>
          <w:szCs w:val="20"/>
        </w:rPr>
      </w:pPr>
      <w:r w:rsidRPr="00A64878">
        <w:rPr>
          <w:rFonts w:ascii="Arial" w:hAnsi="Arial" w:cs="Arial"/>
          <w:b/>
          <w:sz w:val="20"/>
          <w:szCs w:val="20"/>
        </w:rPr>
        <w:t>Abstract</w:t>
      </w:r>
    </w:p>
    <w:p w:rsidR="00A64878" w:rsidRPr="00722132" w:rsidRDefault="00722132" w:rsidP="005C7F76">
      <w:pPr>
        <w:spacing w:after="0"/>
        <w:jc w:val="both"/>
        <w:rPr>
          <w:rFonts w:ascii="Arial" w:hAnsi="Arial" w:cs="Arial"/>
          <w:sz w:val="20"/>
          <w:szCs w:val="20"/>
          <w:lang w:val="en-US"/>
        </w:rPr>
      </w:pPr>
      <w:r w:rsidRPr="00722132">
        <w:rPr>
          <w:rFonts w:ascii="Arial" w:hAnsi="Arial" w:cs="Arial"/>
          <w:sz w:val="20"/>
          <w:szCs w:val="20"/>
          <w:lang w:val="en-US"/>
        </w:rPr>
        <w:t xml:space="preserve">The </w:t>
      </w:r>
      <w:r>
        <w:rPr>
          <w:rFonts w:ascii="Arial" w:hAnsi="Arial" w:cs="Arial"/>
          <w:sz w:val="20"/>
          <w:szCs w:val="20"/>
          <w:lang w:val="en-US"/>
        </w:rPr>
        <w:t>SP</w:t>
      </w:r>
      <w:r w:rsidRPr="00722132">
        <w:rPr>
          <w:rFonts w:ascii="Arial" w:hAnsi="Arial" w:cs="Arial"/>
          <w:sz w:val="20"/>
          <w:szCs w:val="20"/>
          <w:lang w:val="en-US"/>
        </w:rPr>
        <w:t xml:space="preserve"> method is a passive geophysical method that measures the fluctuations of the electri</w:t>
      </w:r>
      <w:r>
        <w:rPr>
          <w:rFonts w:ascii="Arial" w:hAnsi="Arial" w:cs="Arial"/>
          <w:sz w:val="20"/>
          <w:szCs w:val="20"/>
          <w:lang w:val="en-US"/>
        </w:rPr>
        <w:t>c</w:t>
      </w:r>
      <w:r w:rsidRPr="00722132">
        <w:rPr>
          <w:rFonts w:ascii="Arial" w:hAnsi="Arial" w:cs="Arial"/>
          <w:sz w:val="20"/>
          <w:szCs w:val="20"/>
          <w:lang w:val="en-US"/>
        </w:rPr>
        <w:t xml:space="preserve"> field</w:t>
      </w:r>
      <w:r>
        <w:rPr>
          <w:rFonts w:ascii="Arial" w:hAnsi="Arial" w:cs="Arial"/>
          <w:sz w:val="20"/>
          <w:szCs w:val="20"/>
          <w:lang w:val="en-US"/>
        </w:rPr>
        <w:t xml:space="preserve"> generated by the water flow in porous media. Indeed, thanks to its cost effectiveness and its high sensitivity to water flow, the SP method appears as a promising technique for de</w:t>
      </w:r>
      <w:r w:rsidR="005C7F76">
        <w:rPr>
          <w:rFonts w:ascii="Arial" w:hAnsi="Arial" w:cs="Arial"/>
          <w:sz w:val="20"/>
          <w:szCs w:val="20"/>
          <w:lang w:val="en-US"/>
        </w:rPr>
        <w:t>te</w:t>
      </w:r>
      <w:r>
        <w:rPr>
          <w:rFonts w:ascii="Arial" w:hAnsi="Arial" w:cs="Arial"/>
          <w:sz w:val="20"/>
          <w:szCs w:val="20"/>
          <w:lang w:val="en-US"/>
        </w:rPr>
        <w:t xml:space="preserve">cting leaks in dams. We present here a methodology for </w:t>
      </w:r>
      <w:r w:rsidR="005C7F76">
        <w:rPr>
          <w:rFonts w:ascii="Arial" w:hAnsi="Arial" w:cs="Arial"/>
          <w:sz w:val="20"/>
          <w:szCs w:val="20"/>
          <w:lang w:val="en-US"/>
        </w:rPr>
        <w:t>characterizing the seepage flow paths in dams using the SP method.</w:t>
      </w:r>
    </w:p>
    <w:p w:rsidR="00A64878" w:rsidRPr="00A64878" w:rsidRDefault="00A64878" w:rsidP="002C6619">
      <w:pPr>
        <w:spacing w:after="0"/>
        <w:jc w:val="both"/>
        <w:rPr>
          <w:rFonts w:ascii="Arial" w:hAnsi="Arial" w:cs="Arial"/>
          <w:b/>
          <w:sz w:val="20"/>
          <w:szCs w:val="20"/>
        </w:rPr>
      </w:pPr>
    </w:p>
    <w:p w:rsidR="00B40CD4" w:rsidRDefault="00B40CD4" w:rsidP="002C6619">
      <w:pPr>
        <w:jc w:val="both"/>
        <w:rPr>
          <w:rFonts w:ascii="Arial" w:hAnsi="Arial" w:cs="Arial"/>
          <w:b/>
          <w:sz w:val="20"/>
          <w:szCs w:val="20"/>
        </w:rPr>
      </w:pPr>
      <w:r w:rsidRPr="00B40CD4">
        <w:rPr>
          <w:rFonts w:ascii="Arial" w:hAnsi="Arial" w:cs="Arial"/>
          <w:b/>
          <w:sz w:val="20"/>
          <w:szCs w:val="20"/>
        </w:rPr>
        <w:t>1. Introduction</w:t>
      </w:r>
    </w:p>
    <w:p w:rsidR="00E80D66" w:rsidRPr="006D3E47" w:rsidRDefault="006D3E47" w:rsidP="00E80D66">
      <w:pPr>
        <w:jc w:val="both"/>
        <w:rPr>
          <w:rFonts w:ascii="Arial" w:hAnsi="Arial" w:cs="Arial"/>
          <w:sz w:val="20"/>
          <w:szCs w:val="20"/>
        </w:rPr>
      </w:pPr>
      <w:r w:rsidRPr="006D3E47">
        <w:rPr>
          <w:rFonts w:ascii="Arial" w:hAnsi="Arial" w:cs="Arial"/>
          <w:sz w:val="20"/>
          <w:szCs w:val="20"/>
        </w:rPr>
        <w:t xml:space="preserve">Les écoulements d’eau dans un milieu poreux génèrent un courant électrique appelé courant électrocinétique. Ce courant électrique est associé à un champ électrique appelé potentiel spontané. Les fluctuations du champ de potentiel spontané peuvent être mesurées en utilisant des électrodes non polarisables. La méthode géophysique qui s’intéresse à la mesure de ces fluctuations, est dite la méthode du Potentiel Spontané (PS). Elle est l’une des rares méthodes à être très sensible aux flux </w:t>
      </w:r>
      <w:proofErr w:type="gramStart"/>
      <w:r w:rsidRPr="006D3E47">
        <w:rPr>
          <w:rFonts w:ascii="Arial" w:hAnsi="Arial" w:cs="Arial"/>
          <w:sz w:val="20"/>
          <w:szCs w:val="20"/>
        </w:rPr>
        <w:t>hydriques</w:t>
      </w:r>
      <w:proofErr w:type="gramEnd"/>
      <w:r w:rsidRPr="006D3E47">
        <w:rPr>
          <w:rFonts w:ascii="Arial" w:hAnsi="Arial" w:cs="Arial"/>
          <w:sz w:val="20"/>
          <w:szCs w:val="20"/>
        </w:rPr>
        <w:t>, relativement peu coûteuse et facile à mettre en œuvre car elle ne nécessite que l’utilisation de deux électrodes non polarisables que l’on connecte à un voltmètre. De ce fait, la méthode PS est un outil intéressant pour la détection des fuites dans les digues et les barrages. Par exemple, Al-</w:t>
      </w:r>
      <w:proofErr w:type="spellStart"/>
      <w:r w:rsidRPr="006D3E47">
        <w:rPr>
          <w:rFonts w:ascii="Arial" w:hAnsi="Arial" w:cs="Arial"/>
          <w:sz w:val="20"/>
          <w:szCs w:val="20"/>
        </w:rPr>
        <w:t>Saigh</w:t>
      </w:r>
      <w:proofErr w:type="spellEnd"/>
      <w:r w:rsidRPr="006D3E47">
        <w:rPr>
          <w:rFonts w:ascii="Arial" w:hAnsi="Arial" w:cs="Arial"/>
          <w:sz w:val="20"/>
          <w:szCs w:val="20"/>
        </w:rPr>
        <w:t xml:space="preserve"> et al. (1994) ont utilisé la méthode PS afin de détecter les zones de fuite dans un barrage. Ils ont délimité une zone de fuite qui générait une anomalie PS dont l’amplitude avoisinait les 120 mV. </w:t>
      </w:r>
      <w:proofErr w:type="spellStart"/>
      <w:r w:rsidRPr="006D3E47">
        <w:rPr>
          <w:rFonts w:ascii="Arial" w:hAnsi="Arial" w:cs="Arial"/>
          <w:sz w:val="20"/>
          <w:szCs w:val="20"/>
        </w:rPr>
        <w:t>Panthulu</w:t>
      </w:r>
      <w:proofErr w:type="spellEnd"/>
      <w:r w:rsidRPr="006D3E47">
        <w:rPr>
          <w:rFonts w:ascii="Arial" w:hAnsi="Arial" w:cs="Arial"/>
          <w:sz w:val="20"/>
          <w:szCs w:val="20"/>
        </w:rPr>
        <w:t xml:space="preserve"> et al. (2001) ont combiné la méthode de résistivité et celle du potentiel spontané dans le but de détecter les fuites au sein d’une digue bâtie sur un milieu rocheux hautement hétérogène en Inde. La méthode PS leur a permis d’identifier des chemins préférentiels d‘écoulement dans la structure de la digue, qui généraient des anomalies PS ayant des amplitudes allant de 10 à 15 mV. Récemment, </w:t>
      </w:r>
      <w:proofErr w:type="spellStart"/>
      <w:r w:rsidRPr="006D3E47">
        <w:rPr>
          <w:rFonts w:ascii="Arial" w:hAnsi="Arial" w:cs="Arial"/>
          <w:sz w:val="20"/>
          <w:szCs w:val="20"/>
        </w:rPr>
        <w:t>Soueid</w:t>
      </w:r>
      <w:proofErr w:type="spellEnd"/>
      <w:r w:rsidRPr="006D3E47">
        <w:rPr>
          <w:rFonts w:ascii="Arial" w:hAnsi="Arial" w:cs="Arial"/>
          <w:sz w:val="20"/>
          <w:szCs w:val="20"/>
        </w:rPr>
        <w:t xml:space="preserve"> Ahmed et al. (2019) ont implémenté un modèle numérique 3D pour simuler les signaux de potentiel spontané d’origine électrocinétique. Ils ont montré sur une digue expérimentale l’importance que peut avoir la modélisation numérique dans la compréhension et l’interprétation des signaux de potentiel spontané. Cependant, comme soulevé par </w:t>
      </w:r>
      <w:proofErr w:type="spellStart"/>
      <w:r w:rsidRPr="006D3E47">
        <w:rPr>
          <w:rFonts w:ascii="Arial" w:hAnsi="Arial" w:cs="Arial"/>
          <w:sz w:val="20"/>
          <w:szCs w:val="20"/>
        </w:rPr>
        <w:t>Sheffer</w:t>
      </w:r>
      <w:proofErr w:type="spellEnd"/>
      <w:r w:rsidRPr="006D3E47">
        <w:rPr>
          <w:rFonts w:ascii="Arial" w:hAnsi="Arial" w:cs="Arial"/>
          <w:sz w:val="20"/>
          <w:szCs w:val="20"/>
        </w:rPr>
        <w:t xml:space="preserve"> and Oldenburg (2007), l’interprétation des données PS peut se révéler difficile, d’où la nécessité de développer des outils numériques capables d’aider à mieux comprendre les anomalies PS observées et en tirer le plus d’informations pertinentes concernant les écoulements anormaux dans les ouvrages hy</w:t>
      </w:r>
      <w:r>
        <w:rPr>
          <w:rFonts w:ascii="Arial" w:hAnsi="Arial" w:cs="Arial"/>
          <w:sz w:val="20"/>
          <w:szCs w:val="20"/>
        </w:rPr>
        <w:t>drauliques. Plusieurs questions</w:t>
      </w:r>
      <w:r w:rsidRPr="006D3E47">
        <w:rPr>
          <w:rFonts w:ascii="Arial" w:hAnsi="Arial" w:cs="Arial"/>
          <w:sz w:val="20"/>
          <w:szCs w:val="20"/>
        </w:rPr>
        <w:t xml:space="preserve"> se posent : (i) En amont d’une campagne, peut-on définir les gammes de fuite détectables dans un contexte donné afin de vérifier que le rapport coût bénéfice justifie la reconnaissance ? En aval d’une campagne, dans le cas de la présence d’une fuite dans un barrage hydraulique, comment peut-on interpréter les données de PS afin d’estimer les propriétés hydrauliques du chemin d’écoulement préférentiel associé à cette fuites (</w:t>
      </w:r>
      <w:proofErr w:type="gramStart"/>
      <w:r w:rsidRPr="006D3E47">
        <w:rPr>
          <w:rFonts w:ascii="Arial" w:hAnsi="Arial" w:cs="Arial"/>
          <w:sz w:val="20"/>
          <w:szCs w:val="20"/>
        </w:rPr>
        <w:t>c.à.d.,</w:t>
      </w:r>
      <w:proofErr w:type="gramEnd"/>
      <w:r w:rsidRPr="006D3E47">
        <w:rPr>
          <w:rFonts w:ascii="Arial" w:hAnsi="Arial" w:cs="Arial"/>
          <w:sz w:val="20"/>
          <w:szCs w:val="20"/>
        </w:rPr>
        <w:t xml:space="preserve"> perméabilité et vitesse d‘écoulement) et leur sensibilité. Nous proposons dans cette contribution, de répondr</w:t>
      </w:r>
      <w:r>
        <w:rPr>
          <w:rFonts w:ascii="Arial" w:hAnsi="Arial" w:cs="Arial"/>
          <w:sz w:val="20"/>
          <w:szCs w:val="20"/>
        </w:rPr>
        <w:t>e à ces questionnements, par le développement</w:t>
      </w:r>
      <w:r w:rsidRPr="006D3E47">
        <w:rPr>
          <w:rFonts w:ascii="Arial" w:hAnsi="Arial" w:cs="Arial"/>
          <w:sz w:val="20"/>
          <w:szCs w:val="20"/>
        </w:rPr>
        <w:t xml:space="preserve"> </w:t>
      </w:r>
      <w:r>
        <w:rPr>
          <w:rFonts w:ascii="Arial" w:hAnsi="Arial" w:cs="Arial"/>
          <w:sz w:val="20"/>
          <w:szCs w:val="20"/>
        </w:rPr>
        <w:t>d’</w:t>
      </w:r>
      <w:r w:rsidRPr="006D3E47">
        <w:rPr>
          <w:rFonts w:ascii="Arial" w:hAnsi="Arial" w:cs="Arial"/>
          <w:sz w:val="20"/>
          <w:szCs w:val="20"/>
        </w:rPr>
        <w:t>un outil de modélisation stochastique inverse basé sur les chaînes de Markov (</w:t>
      </w:r>
      <w:proofErr w:type="spellStart"/>
      <w:proofErr w:type="gramStart"/>
      <w:r w:rsidRPr="006D3E47">
        <w:rPr>
          <w:rFonts w:ascii="Arial" w:hAnsi="Arial" w:cs="Arial"/>
          <w:sz w:val="20"/>
          <w:szCs w:val="20"/>
        </w:rPr>
        <w:t>c.f</w:t>
      </w:r>
      <w:proofErr w:type="spellEnd"/>
      <w:r w:rsidRPr="006D3E47">
        <w:rPr>
          <w:rFonts w:ascii="Arial" w:hAnsi="Arial" w:cs="Arial"/>
          <w:sz w:val="20"/>
          <w:szCs w:val="20"/>
        </w:rPr>
        <w:t>.,</w:t>
      </w:r>
      <w:proofErr w:type="gramEnd"/>
      <w:r w:rsidRPr="006D3E47">
        <w:rPr>
          <w:rFonts w:ascii="Arial" w:hAnsi="Arial" w:cs="Arial"/>
          <w:sz w:val="20"/>
          <w:szCs w:val="20"/>
        </w:rPr>
        <w:t xml:space="preserve"> </w:t>
      </w:r>
      <w:proofErr w:type="spellStart"/>
      <w:r w:rsidRPr="006D3E47">
        <w:rPr>
          <w:rFonts w:ascii="Arial" w:hAnsi="Arial" w:cs="Arial"/>
          <w:sz w:val="20"/>
          <w:szCs w:val="20"/>
        </w:rPr>
        <w:t>Haario</w:t>
      </w:r>
      <w:proofErr w:type="spellEnd"/>
      <w:r w:rsidRPr="006D3E47">
        <w:rPr>
          <w:rFonts w:ascii="Arial" w:hAnsi="Arial" w:cs="Arial"/>
          <w:sz w:val="20"/>
          <w:szCs w:val="20"/>
        </w:rPr>
        <w:t xml:space="preserve"> et al., 2006; Hastings, 1970; </w:t>
      </w:r>
      <w:proofErr w:type="spellStart"/>
      <w:r w:rsidRPr="006D3E47">
        <w:rPr>
          <w:rFonts w:ascii="Arial" w:hAnsi="Arial" w:cs="Arial"/>
          <w:sz w:val="20"/>
          <w:szCs w:val="20"/>
        </w:rPr>
        <w:t>Metropolis</w:t>
      </w:r>
      <w:proofErr w:type="spellEnd"/>
      <w:r w:rsidRPr="006D3E47">
        <w:rPr>
          <w:rFonts w:ascii="Arial" w:hAnsi="Arial" w:cs="Arial"/>
          <w:sz w:val="20"/>
          <w:szCs w:val="20"/>
        </w:rPr>
        <w:t xml:space="preserve"> et al., 1953; </w:t>
      </w:r>
      <w:proofErr w:type="spellStart"/>
      <w:r w:rsidRPr="006D3E47">
        <w:rPr>
          <w:rFonts w:ascii="Arial" w:hAnsi="Arial" w:cs="Arial"/>
          <w:sz w:val="20"/>
          <w:szCs w:val="20"/>
        </w:rPr>
        <w:t>Sambridge</w:t>
      </w:r>
      <w:proofErr w:type="spellEnd"/>
      <w:r w:rsidRPr="006D3E47">
        <w:rPr>
          <w:rFonts w:ascii="Arial" w:hAnsi="Arial" w:cs="Arial"/>
          <w:sz w:val="20"/>
          <w:szCs w:val="20"/>
        </w:rPr>
        <w:t xml:space="preserve"> and </w:t>
      </w:r>
      <w:proofErr w:type="spellStart"/>
      <w:r w:rsidRPr="006D3E47">
        <w:rPr>
          <w:rFonts w:ascii="Arial" w:hAnsi="Arial" w:cs="Arial"/>
          <w:sz w:val="20"/>
          <w:szCs w:val="20"/>
        </w:rPr>
        <w:t>Mosegaard</w:t>
      </w:r>
      <w:proofErr w:type="spellEnd"/>
      <w:r w:rsidRPr="006D3E47">
        <w:rPr>
          <w:rFonts w:ascii="Arial" w:hAnsi="Arial" w:cs="Arial"/>
          <w:sz w:val="20"/>
          <w:szCs w:val="20"/>
        </w:rPr>
        <w:t>, 2002). Notre modèle permet d’estimer les propriétés hydrauliques des chemins préférentiels à partir des données PS observées sur une digue ou un barrage.</w:t>
      </w:r>
      <w:r>
        <w:rPr>
          <w:rFonts w:ascii="Arial" w:hAnsi="Arial" w:cs="Arial"/>
          <w:sz w:val="20"/>
          <w:szCs w:val="20"/>
        </w:rPr>
        <w:t xml:space="preserve"> Il prend en entrée la géométrie de l’ouvrage ainsi que la perméabilité et la résistivité de chacun de ses structures.</w:t>
      </w:r>
      <w:r w:rsidRPr="006D3E47">
        <w:rPr>
          <w:rFonts w:ascii="Arial" w:hAnsi="Arial" w:cs="Arial"/>
          <w:sz w:val="20"/>
          <w:szCs w:val="20"/>
        </w:rPr>
        <w:t xml:space="preserve"> </w:t>
      </w:r>
      <w:proofErr w:type="gramStart"/>
      <w:r w:rsidRPr="006D3E47">
        <w:rPr>
          <w:rFonts w:ascii="Arial" w:hAnsi="Arial" w:cs="Arial"/>
          <w:sz w:val="20"/>
          <w:szCs w:val="20"/>
        </w:rPr>
        <w:t>nous</w:t>
      </w:r>
      <w:proofErr w:type="gramEnd"/>
      <w:r w:rsidRPr="006D3E47">
        <w:rPr>
          <w:rFonts w:ascii="Arial" w:hAnsi="Arial" w:cs="Arial"/>
          <w:sz w:val="20"/>
          <w:szCs w:val="20"/>
        </w:rPr>
        <w:t xml:space="preserve"> effectuons</w:t>
      </w:r>
      <w:r>
        <w:rPr>
          <w:rFonts w:ascii="Arial" w:hAnsi="Arial" w:cs="Arial"/>
          <w:sz w:val="20"/>
          <w:szCs w:val="20"/>
        </w:rPr>
        <w:t xml:space="preserve"> également</w:t>
      </w:r>
      <w:r w:rsidRPr="006D3E47">
        <w:rPr>
          <w:rFonts w:ascii="Arial" w:hAnsi="Arial" w:cs="Arial"/>
          <w:sz w:val="20"/>
          <w:szCs w:val="20"/>
        </w:rPr>
        <w:t xml:space="preserve"> une étude de sensibilité sur la perméabilité du chemin préférentiel d’écoulement dans la fondation d’une digue donnée afin d’évaluer le rôle que joue cette grandeur sur les signaux PS observés sur cel</w:t>
      </w:r>
      <w:r>
        <w:rPr>
          <w:rFonts w:ascii="Arial" w:hAnsi="Arial" w:cs="Arial"/>
          <w:sz w:val="20"/>
          <w:szCs w:val="20"/>
        </w:rPr>
        <w:t>le-ci. Notre étude porte sur un</w:t>
      </w:r>
      <w:r w:rsidRPr="006D3E47">
        <w:rPr>
          <w:rFonts w:ascii="Arial" w:hAnsi="Arial" w:cs="Arial"/>
          <w:sz w:val="20"/>
          <w:szCs w:val="20"/>
        </w:rPr>
        <w:t xml:space="preserve"> </w:t>
      </w:r>
      <w:r w:rsidRPr="006D3E47">
        <w:rPr>
          <w:rFonts w:ascii="Arial" w:hAnsi="Arial" w:cs="Arial"/>
          <w:sz w:val="20"/>
          <w:szCs w:val="20"/>
        </w:rPr>
        <w:lastRenderedPageBreak/>
        <w:t xml:space="preserve">barrage hydroélectrique en Afrique équatoriale et sur lequel </w:t>
      </w:r>
      <w:proofErr w:type="spellStart"/>
      <w:r w:rsidRPr="006D3E47">
        <w:rPr>
          <w:rFonts w:ascii="Arial" w:hAnsi="Arial" w:cs="Arial"/>
          <w:sz w:val="20"/>
          <w:szCs w:val="20"/>
        </w:rPr>
        <w:t>Fugro</w:t>
      </w:r>
      <w:proofErr w:type="spellEnd"/>
      <w:r w:rsidRPr="006D3E47">
        <w:rPr>
          <w:rFonts w:ascii="Arial" w:hAnsi="Arial" w:cs="Arial"/>
          <w:sz w:val="20"/>
          <w:szCs w:val="20"/>
        </w:rPr>
        <w:t xml:space="preserve"> a effectué à la demande d’EDF une vaste campagne de potentiel spontané et de tomographie de résistivité électrique.</w:t>
      </w:r>
    </w:p>
    <w:p w:rsidR="00E80D66" w:rsidRDefault="00B6490C" w:rsidP="00E80D66">
      <w:pPr>
        <w:jc w:val="both"/>
        <w:rPr>
          <w:rFonts w:ascii="Arial" w:hAnsi="Arial" w:cs="Arial"/>
          <w:b/>
          <w:sz w:val="20"/>
          <w:szCs w:val="20"/>
        </w:rPr>
      </w:pPr>
      <w:proofErr w:type="gramStart"/>
      <w:r w:rsidRPr="00B40CD4">
        <w:rPr>
          <w:rFonts w:ascii="Arial" w:hAnsi="Arial" w:cs="Arial"/>
          <w:b/>
          <w:sz w:val="20"/>
          <w:szCs w:val="20"/>
        </w:rPr>
        <w:t>2.Site</w:t>
      </w:r>
      <w:proofErr w:type="gramEnd"/>
      <w:r w:rsidRPr="00B40CD4">
        <w:rPr>
          <w:rFonts w:ascii="Arial" w:hAnsi="Arial" w:cs="Arial"/>
          <w:b/>
          <w:sz w:val="20"/>
          <w:szCs w:val="20"/>
        </w:rPr>
        <w:t xml:space="preserve"> d’étude</w:t>
      </w:r>
    </w:p>
    <w:p w:rsidR="006D3E47" w:rsidRDefault="006D3E47" w:rsidP="002C6619">
      <w:pPr>
        <w:spacing w:after="0"/>
        <w:jc w:val="both"/>
        <w:rPr>
          <w:rFonts w:ascii="Arial" w:hAnsi="Arial" w:cs="Arial"/>
          <w:sz w:val="20"/>
          <w:szCs w:val="20"/>
        </w:rPr>
      </w:pPr>
      <w:r>
        <w:rPr>
          <w:rFonts w:ascii="Arial" w:hAnsi="Arial" w:cs="Arial"/>
          <w:sz w:val="20"/>
          <w:szCs w:val="20"/>
        </w:rPr>
        <w:t>La portion du</w:t>
      </w:r>
      <w:r w:rsidRPr="006D3E47">
        <w:rPr>
          <w:rFonts w:ascii="Arial" w:hAnsi="Arial" w:cs="Arial"/>
          <w:sz w:val="20"/>
          <w:szCs w:val="20"/>
        </w:rPr>
        <w:t xml:space="preserve"> barrage étudiée est une digue kilométrique fermant un col. Elle est composée d’un noyau en latérite et repose sur un substratum cristallin, avec des niveaux plus ou moins altérés ou fissurés. La mise en eau de ce barrage fut réalisée en 1987 et sa retenue contient un volume de 2 km3. Les campagnes </w:t>
      </w:r>
      <w:proofErr w:type="spellStart"/>
      <w:r w:rsidRPr="006D3E47">
        <w:rPr>
          <w:rFonts w:ascii="Arial" w:hAnsi="Arial" w:cs="Arial"/>
          <w:sz w:val="20"/>
          <w:szCs w:val="20"/>
        </w:rPr>
        <w:t>géoélectriques</w:t>
      </w:r>
      <w:proofErr w:type="spellEnd"/>
      <w:r w:rsidRPr="006D3E47">
        <w:rPr>
          <w:rFonts w:ascii="Arial" w:hAnsi="Arial" w:cs="Arial"/>
          <w:sz w:val="20"/>
          <w:szCs w:val="20"/>
        </w:rPr>
        <w:t xml:space="preserve"> (PS et résistivité électrique) réalisées sur le barrage ont permis d’identifier dans la rive gauche de l’ouvrage des zones à faible résistivité et reflétant des anomalies PS positives (voir Figure 1). Ces zones sont susceptibles d’être des zones de résurgence. Nous proposons d’utiliser le modèle numérique afin de mieux caractériser les propriétés de ces deux zones, à savoir :</w:t>
      </w:r>
    </w:p>
    <w:p w:rsidR="000E13CE" w:rsidRPr="002967EC" w:rsidRDefault="000E13CE" w:rsidP="002C6619">
      <w:pPr>
        <w:spacing w:after="0"/>
        <w:jc w:val="both"/>
        <w:rPr>
          <w:rFonts w:ascii="Arial" w:hAnsi="Arial" w:cs="Arial"/>
          <w:sz w:val="20"/>
          <w:szCs w:val="20"/>
        </w:rPr>
      </w:pPr>
      <w:r w:rsidRPr="002967EC">
        <w:rPr>
          <w:rFonts w:ascii="Arial" w:hAnsi="Arial" w:cs="Arial"/>
          <w:sz w:val="20"/>
          <w:szCs w:val="20"/>
        </w:rPr>
        <w:t>- La zone 1 située entre les abscisses 1380 m et 1460 m (entre les repères 107A et 108)</w:t>
      </w:r>
      <w:r w:rsidR="006D3E47">
        <w:rPr>
          <w:rFonts w:ascii="Arial" w:hAnsi="Arial" w:cs="Arial"/>
          <w:sz w:val="20"/>
          <w:szCs w:val="20"/>
        </w:rPr>
        <w:t>.</w:t>
      </w:r>
    </w:p>
    <w:p w:rsidR="000E13CE" w:rsidRPr="002967EC" w:rsidRDefault="000E13CE" w:rsidP="002C6619">
      <w:pPr>
        <w:spacing w:after="0"/>
        <w:jc w:val="both"/>
        <w:rPr>
          <w:rFonts w:ascii="Arial" w:hAnsi="Arial" w:cs="Arial"/>
          <w:sz w:val="20"/>
          <w:szCs w:val="20"/>
        </w:rPr>
      </w:pPr>
      <w:r w:rsidRPr="002967EC">
        <w:rPr>
          <w:rFonts w:ascii="Arial" w:hAnsi="Arial" w:cs="Arial"/>
          <w:sz w:val="20"/>
          <w:szCs w:val="20"/>
        </w:rPr>
        <w:t>- La zone 2 située entre les abscisses 940 m et 980 m (entre les repères 105 et 105A)</w:t>
      </w:r>
      <w:r w:rsidR="006D3E47">
        <w:rPr>
          <w:rFonts w:ascii="Arial" w:hAnsi="Arial" w:cs="Arial"/>
          <w:sz w:val="20"/>
          <w:szCs w:val="20"/>
        </w:rPr>
        <w:t>.</w:t>
      </w:r>
    </w:p>
    <w:p w:rsidR="000E13CE" w:rsidRPr="002967EC" w:rsidRDefault="000E13CE" w:rsidP="002C6619">
      <w:pPr>
        <w:spacing w:after="0"/>
        <w:jc w:val="both"/>
        <w:rPr>
          <w:rFonts w:ascii="Arial" w:hAnsi="Arial" w:cs="Arial"/>
          <w:sz w:val="20"/>
          <w:szCs w:val="20"/>
        </w:rPr>
      </w:pPr>
      <w:r w:rsidRPr="002967EC">
        <w:rPr>
          <w:rFonts w:ascii="Arial" w:hAnsi="Arial" w:cs="Arial"/>
          <w:sz w:val="20"/>
          <w:szCs w:val="20"/>
        </w:rPr>
        <w:t>Nous allons nous focaliser sur la zone 1 (voir Figure</w:t>
      </w:r>
      <w:r w:rsidR="00E80D66">
        <w:rPr>
          <w:rFonts w:ascii="Arial" w:hAnsi="Arial" w:cs="Arial"/>
          <w:sz w:val="20"/>
          <w:szCs w:val="20"/>
        </w:rPr>
        <w:t xml:space="preserve"> 1</w:t>
      </w:r>
      <w:r w:rsidRPr="002967EC">
        <w:rPr>
          <w:rFonts w:ascii="Arial" w:hAnsi="Arial" w:cs="Arial"/>
          <w:sz w:val="20"/>
          <w:szCs w:val="20"/>
        </w:rPr>
        <w:t xml:space="preserve">). </w:t>
      </w:r>
    </w:p>
    <w:p w:rsidR="000E13CE" w:rsidRDefault="00AC6C34" w:rsidP="002C6619">
      <w:pPr>
        <w:jc w:val="both"/>
        <w:rPr>
          <w:rFonts w:ascii="Times New Roman" w:hAnsi="Times New Roman" w:cs="Times New Roman"/>
          <w:b/>
          <w:sz w:val="24"/>
          <w:szCs w:val="24"/>
        </w:rPr>
      </w:pPr>
      <w:r w:rsidRPr="002967EC">
        <w:rPr>
          <w:rFonts w:ascii="Arial" w:hAnsi="Arial" w:cs="Arial"/>
          <w:noProof/>
          <w:sz w:val="20"/>
          <w:szCs w:val="20"/>
          <w:lang w:eastAsia="fr-FR"/>
        </w:rPr>
        <w:drawing>
          <wp:anchor distT="0" distB="0" distL="114300" distR="114300" simplePos="0" relativeHeight="251659264" behindDoc="1" locked="0" layoutInCell="1" allowOverlap="1" wp14:anchorId="0B54A5B6" wp14:editId="4965FF1F">
            <wp:simplePos x="0" y="0"/>
            <wp:positionH relativeFrom="column">
              <wp:posOffset>1652905</wp:posOffset>
            </wp:positionH>
            <wp:positionV relativeFrom="paragraph">
              <wp:posOffset>23495</wp:posOffset>
            </wp:positionV>
            <wp:extent cx="2095191" cy="2736000"/>
            <wp:effectExtent l="0" t="0" r="635"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angbéto_case.JPG"/>
                    <pic:cNvPicPr/>
                  </pic:nvPicPr>
                  <pic:blipFill>
                    <a:blip r:embed="rId7">
                      <a:extLst>
                        <a:ext uri="{28A0092B-C50C-407E-A947-70E740481C1C}">
                          <a14:useLocalDpi xmlns:a14="http://schemas.microsoft.com/office/drawing/2010/main" val="0"/>
                        </a:ext>
                      </a:extLst>
                    </a:blip>
                    <a:stretch>
                      <a:fillRect/>
                    </a:stretch>
                  </pic:blipFill>
                  <pic:spPr>
                    <a:xfrm>
                      <a:off x="0" y="0"/>
                      <a:ext cx="2095191" cy="2736000"/>
                    </a:xfrm>
                    <a:prstGeom prst="rect">
                      <a:avLst/>
                    </a:prstGeom>
                  </pic:spPr>
                </pic:pic>
              </a:graphicData>
            </a:graphic>
            <wp14:sizeRelH relativeFrom="margin">
              <wp14:pctWidth>0</wp14:pctWidth>
            </wp14:sizeRelH>
            <wp14:sizeRelV relativeFrom="margin">
              <wp14:pctHeight>0</wp14:pctHeight>
            </wp14:sizeRelV>
          </wp:anchor>
        </w:drawing>
      </w:r>
    </w:p>
    <w:p w:rsidR="000E13CE" w:rsidRDefault="000E13CE" w:rsidP="002C6619">
      <w:pPr>
        <w:jc w:val="both"/>
        <w:rPr>
          <w:rFonts w:ascii="Times New Roman" w:hAnsi="Times New Roman" w:cs="Times New Roman"/>
          <w:b/>
          <w:sz w:val="24"/>
          <w:szCs w:val="24"/>
        </w:rPr>
      </w:pPr>
    </w:p>
    <w:p w:rsidR="000E13CE" w:rsidRDefault="000E13CE" w:rsidP="002C6619">
      <w:pPr>
        <w:jc w:val="both"/>
        <w:rPr>
          <w:rFonts w:ascii="Times New Roman" w:hAnsi="Times New Roman" w:cs="Times New Roman"/>
          <w:b/>
          <w:sz w:val="24"/>
          <w:szCs w:val="24"/>
        </w:rPr>
      </w:pPr>
    </w:p>
    <w:p w:rsidR="000E13CE" w:rsidRDefault="000E13CE" w:rsidP="002C6619">
      <w:pPr>
        <w:jc w:val="both"/>
        <w:rPr>
          <w:rFonts w:ascii="Times New Roman" w:hAnsi="Times New Roman" w:cs="Times New Roman"/>
          <w:b/>
          <w:sz w:val="24"/>
          <w:szCs w:val="24"/>
        </w:rPr>
      </w:pPr>
    </w:p>
    <w:p w:rsidR="000E13CE" w:rsidRDefault="000E13CE" w:rsidP="002C6619">
      <w:pPr>
        <w:jc w:val="both"/>
        <w:rPr>
          <w:rFonts w:ascii="Times New Roman" w:hAnsi="Times New Roman" w:cs="Times New Roman"/>
          <w:b/>
          <w:sz w:val="24"/>
          <w:szCs w:val="24"/>
        </w:rPr>
      </w:pPr>
    </w:p>
    <w:p w:rsidR="000E13CE" w:rsidRDefault="000E13CE" w:rsidP="002C6619">
      <w:pPr>
        <w:jc w:val="both"/>
        <w:rPr>
          <w:rFonts w:ascii="Times New Roman" w:hAnsi="Times New Roman" w:cs="Times New Roman"/>
          <w:b/>
          <w:sz w:val="24"/>
          <w:szCs w:val="24"/>
        </w:rPr>
      </w:pPr>
    </w:p>
    <w:p w:rsidR="000E13CE" w:rsidRDefault="000E13CE" w:rsidP="002C6619">
      <w:pPr>
        <w:jc w:val="both"/>
        <w:rPr>
          <w:rFonts w:ascii="Times New Roman" w:hAnsi="Times New Roman" w:cs="Times New Roman"/>
          <w:b/>
          <w:sz w:val="24"/>
          <w:szCs w:val="24"/>
        </w:rPr>
      </w:pPr>
    </w:p>
    <w:p w:rsidR="002967EC" w:rsidRDefault="002967EC" w:rsidP="002C6619">
      <w:pPr>
        <w:jc w:val="both"/>
        <w:rPr>
          <w:rFonts w:ascii="Arial" w:hAnsi="Arial" w:cs="Arial"/>
          <w:b/>
          <w:sz w:val="20"/>
          <w:szCs w:val="20"/>
        </w:rPr>
      </w:pPr>
    </w:p>
    <w:p w:rsidR="002967EC" w:rsidRDefault="002967EC" w:rsidP="002C6619">
      <w:pPr>
        <w:jc w:val="both"/>
        <w:rPr>
          <w:rFonts w:ascii="Arial" w:hAnsi="Arial" w:cs="Arial"/>
          <w:b/>
          <w:sz w:val="20"/>
          <w:szCs w:val="20"/>
        </w:rPr>
      </w:pPr>
    </w:p>
    <w:p w:rsidR="000E13CE" w:rsidRPr="00E80D66" w:rsidRDefault="00E80D66" w:rsidP="002C6619">
      <w:pPr>
        <w:jc w:val="both"/>
        <w:rPr>
          <w:rFonts w:ascii="Arial" w:hAnsi="Arial" w:cs="Arial"/>
          <w:sz w:val="20"/>
          <w:szCs w:val="20"/>
        </w:rPr>
      </w:pPr>
      <w:r>
        <w:rPr>
          <w:rFonts w:ascii="Arial" w:hAnsi="Arial" w:cs="Arial"/>
          <w:b/>
          <w:sz w:val="20"/>
          <w:szCs w:val="20"/>
        </w:rPr>
        <w:t>Figure 1</w:t>
      </w:r>
      <w:r w:rsidR="000E13CE" w:rsidRPr="00E80D66">
        <w:rPr>
          <w:rFonts w:ascii="Arial" w:hAnsi="Arial" w:cs="Arial"/>
          <w:sz w:val="20"/>
          <w:szCs w:val="20"/>
        </w:rPr>
        <w:t xml:space="preserve">. Zone 1 de la digue de </w:t>
      </w:r>
      <w:proofErr w:type="spellStart"/>
      <w:r w:rsidR="000E13CE" w:rsidRPr="00E80D66">
        <w:rPr>
          <w:rFonts w:ascii="Arial" w:hAnsi="Arial" w:cs="Arial"/>
          <w:sz w:val="20"/>
          <w:szCs w:val="20"/>
        </w:rPr>
        <w:t>Nangbéto</w:t>
      </w:r>
      <w:proofErr w:type="spellEnd"/>
      <w:r w:rsidR="000E13CE" w:rsidRPr="00E80D66">
        <w:rPr>
          <w:rFonts w:ascii="Arial" w:hAnsi="Arial" w:cs="Arial"/>
          <w:sz w:val="20"/>
          <w:szCs w:val="20"/>
        </w:rPr>
        <w:t xml:space="preserve"> rive gauche</w:t>
      </w:r>
    </w:p>
    <w:p w:rsidR="00CB69C3" w:rsidRDefault="000E13CE" w:rsidP="002C6619">
      <w:pPr>
        <w:jc w:val="both"/>
        <w:rPr>
          <w:rFonts w:ascii="Arial" w:hAnsi="Arial" w:cs="Arial"/>
          <w:sz w:val="20"/>
          <w:szCs w:val="20"/>
        </w:rPr>
      </w:pPr>
      <w:r w:rsidRPr="002967EC">
        <w:rPr>
          <w:rFonts w:ascii="Arial" w:hAnsi="Arial" w:cs="Arial"/>
          <w:sz w:val="20"/>
          <w:szCs w:val="20"/>
        </w:rPr>
        <w:t>En effet, cette zone montre la plus grande anomalie PS (de +30 mV à +35 mV) en aval (en pied de digue). L’amplitude de l’anomalie PS en amont, c’est-à-dire dans l’eau, à 1 m du fond de la retenue est de l’ordre -5 mV</w:t>
      </w:r>
      <w:r w:rsidR="002967EC">
        <w:rPr>
          <w:rFonts w:ascii="Arial" w:hAnsi="Arial" w:cs="Arial"/>
          <w:sz w:val="20"/>
          <w:szCs w:val="20"/>
        </w:rPr>
        <w:t xml:space="preserve">. </w:t>
      </w:r>
      <w:r w:rsidRPr="002967EC">
        <w:rPr>
          <w:rFonts w:ascii="Arial" w:hAnsi="Arial" w:cs="Arial"/>
          <w:sz w:val="20"/>
          <w:szCs w:val="20"/>
        </w:rPr>
        <w:t>Le niveau d’eau de la retenue est de 4 m.</w:t>
      </w:r>
    </w:p>
    <w:p w:rsidR="00D934B0" w:rsidRDefault="00CB69C3" w:rsidP="002C6619">
      <w:pPr>
        <w:jc w:val="both"/>
        <w:rPr>
          <w:rFonts w:ascii="Arial" w:hAnsi="Arial" w:cs="Arial"/>
          <w:b/>
          <w:sz w:val="20"/>
          <w:szCs w:val="20"/>
        </w:rPr>
      </w:pPr>
      <w:r>
        <w:rPr>
          <w:rFonts w:ascii="Arial" w:hAnsi="Arial" w:cs="Arial"/>
          <w:b/>
          <w:sz w:val="20"/>
          <w:szCs w:val="20"/>
        </w:rPr>
        <w:t>3.</w:t>
      </w:r>
      <w:r w:rsidRPr="00B40CD4">
        <w:rPr>
          <w:rFonts w:ascii="Arial" w:hAnsi="Arial" w:cs="Arial"/>
          <w:b/>
          <w:sz w:val="20"/>
          <w:szCs w:val="20"/>
        </w:rPr>
        <w:t xml:space="preserve"> Estimation de la perméabilité</w:t>
      </w:r>
      <w:r>
        <w:rPr>
          <w:rFonts w:ascii="Arial" w:hAnsi="Arial" w:cs="Arial"/>
          <w:b/>
          <w:sz w:val="20"/>
          <w:szCs w:val="20"/>
        </w:rPr>
        <w:t xml:space="preserve"> du chemin </w:t>
      </w:r>
      <w:r w:rsidR="003C2D9B">
        <w:rPr>
          <w:rFonts w:ascii="Arial" w:hAnsi="Arial" w:cs="Arial"/>
          <w:b/>
          <w:sz w:val="20"/>
          <w:szCs w:val="20"/>
        </w:rPr>
        <w:t>préférentiel</w:t>
      </w:r>
    </w:p>
    <w:p w:rsidR="002967EC" w:rsidRPr="00D934B0" w:rsidRDefault="002967EC" w:rsidP="002C6619">
      <w:pPr>
        <w:jc w:val="both"/>
        <w:rPr>
          <w:rFonts w:ascii="Arial" w:hAnsi="Arial" w:cs="Arial"/>
          <w:b/>
          <w:sz w:val="20"/>
          <w:szCs w:val="20"/>
        </w:rPr>
      </w:pPr>
      <w:r w:rsidRPr="002967EC">
        <w:rPr>
          <w:rFonts w:ascii="Arial" w:hAnsi="Arial" w:cs="Arial"/>
          <w:sz w:val="20"/>
          <w:szCs w:val="20"/>
        </w:rPr>
        <w:t xml:space="preserve">L’étude de sensibilité réalisée, consiste à faire varier </w:t>
      </w:r>
      <w:r w:rsidR="001E3E98">
        <w:rPr>
          <w:rFonts w:ascii="Arial" w:hAnsi="Arial" w:cs="Arial"/>
          <w:sz w:val="20"/>
          <w:szCs w:val="20"/>
        </w:rPr>
        <w:t>la perméabilité du conduit d’écoulement préférentiel</w:t>
      </w:r>
      <w:r w:rsidRPr="002967EC">
        <w:rPr>
          <w:rFonts w:ascii="Arial" w:hAnsi="Arial" w:cs="Arial"/>
          <w:sz w:val="20"/>
          <w:szCs w:val="20"/>
        </w:rPr>
        <w:t xml:space="preserve"> afin de pouvoir reconstruire les amplitudes des anomalies PS mesurées sur le terrain.</w:t>
      </w:r>
      <w:r>
        <w:rPr>
          <w:rFonts w:ascii="Arial" w:hAnsi="Arial" w:cs="Arial"/>
          <w:sz w:val="20"/>
          <w:szCs w:val="20"/>
        </w:rPr>
        <w:t xml:space="preserve"> Pour</w:t>
      </w:r>
      <w:r w:rsidR="00C5147A">
        <w:rPr>
          <w:rFonts w:ascii="Arial" w:hAnsi="Arial" w:cs="Arial"/>
          <w:sz w:val="20"/>
          <w:szCs w:val="20"/>
        </w:rPr>
        <w:t xml:space="preserve"> </w:t>
      </w:r>
      <w:r>
        <w:rPr>
          <w:rFonts w:ascii="Arial" w:hAnsi="Arial" w:cs="Arial"/>
          <w:sz w:val="20"/>
          <w:szCs w:val="20"/>
        </w:rPr>
        <w:t xml:space="preserve">ce faire, nous </w:t>
      </w:r>
      <w:r w:rsidR="00C5147A">
        <w:rPr>
          <w:rFonts w:ascii="Arial" w:hAnsi="Arial" w:cs="Arial"/>
          <w:sz w:val="20"/>
          <w:szCs w:val="20"/>
        </w:rPr>
        <w:t>modélisons</w:t>
      </w:r>
      <w:r>
        <w:rPr>
          <w:rFonts w:ascii="Arial" w:hAnsi="Arial" w:cs="Arial"/>
          <w:sz w:val="20"/>
          <w:szCs w:val="20"/>
        </w:rPr>
        <w:t xml:space="preserve"> le barrage en utilisant la géométrie illustrée sur la Figure</w:t>
      </w:r>
      <w:r w:rsidR="00C5147A">
        <w:rPr>
          <w:rFonts w:ascii="Arial" w:hAnsi="Arial" w:cs="Arial"/>
          <w:sz w:val="20"/>
          <w:szCs w:val="20"/>
        </w:rPr>
        <w:t xml:space="preserve"> </w:t>
      </w:r>
      <w:r w:rsidR="001E3E98">
        <w:rPr>
          <w:rFonts w:ascii="Arial" w:hAnsi="Arial" w:cs="Arial"/>
          <w:sz w:val="20"/>
          <w:szCs w:val="20"/>
        </w:rPr>
        <w:t>2</w:t>
      </w:r>
      <w:r w:rsidR="00E80D66">
        <w:rPr>
          <w:rFonts w:ascii="Arial" w:hAnsi="Arial" w:cs="Arial"/>
          <w:sz w:val="20"/>
          <w:szCs w:val="20"/>
        </w:rPr>
        <w:t>.</w:t>
      </w:r>
      <w:r w:rsidR="00C5147A">
        <w:rPr>
          <w:rFonts w:ascii="Arial" w:hAnsi="Arial" w:cs="Arial"/>
          <w:sz w:val="20"/>
          <w:szCs w:val="20"/>
        </w:rPr>
        <w:t xml:space="preserve"> </w:t>
      </w:r>
      <w:r w:rsidR="009A2431">
        <w:rPr>
          <w:rFonts w:ascii="Arial" w:hAnsi="Arial" w:cs="Arial"/>
          <w:sz w:val="20"/>
          <w:szCs w:val="20"/>
        </w:rPr>
        <w:t xml:space="preserve">Les données PS ont été </w:t>
      </w:r>
      <w:r w:rsidR="001E3E98">
        <w:rPr>
          <w:rFonts w:ascii="Arial" w:hAnsi="Arial" w:cs="Arial"/>
          <w:sz w:val="20"/>
          <w:szCs w:val="20"/>
        </w:rPr>
        <w:t>enregistrées en</w:t>
      </w:r>
      <w:r w:rsidR="009A2431">
        <w:rPr>
          <w:rFonts w:ascii="Arial" w:hAnsi="Arial" w:cs="Arial"/>
          <w:sz w:val="20"/>
          <w:szCs w:val="20"/>
        </w:rPr>
        <w:t xml:space="preserve"> amont en eau à 1 m du fond de la retenue et en aval en pied de digue à environ 2.5 m de la digue.</w:t>
      </w:r>
    </w:p>
    <w:p w:rsidR="002C6619" w:rsidRDefault="00E14B90" w:rsidP="002C6619">
      <w:pPr>
        <w:jc w:val="center"/>
        <w:rPr>
          <w:rFonts w:ascii="Arial" w:hAnsi="Arial" w:cs="Arial"/>
          <w:sz w:val="20"/>
          <w:szCs w:val="20"/>
        </w:rPr>
      </w:pPr>
      <w:r w:rsidRPr="00F81391">
        <w:rPr>
          <w:rFonts w:ascii="Times New Roman" w:hAnsi="Times New Roman" w:cs="Times New Roman"/>
          <w:noProof/>
          <w:sz w:val="24"/>
          <w:szCs w:val="24"/>
          <w:lang w:eastAsia="fr-FR"/>
        </w:rPr>
        <w:lastRenderedPageBreak/>
        <w:drawing>
          <wp:inline distT="0" distB="0" distL="0" distR="0" wp14:anchorId="1A1B8CCE" wp14:editId="2DF574C2">
            <wp:extent cx="3394014" cy="1728000"/>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ometri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4014" cy="1728000"/>
                    </a:xfrm>
                    <a:prstGeom prst="rect">
                      <a:avLst/>
                    </a:prstGeom>
                  </pic:spPr>
                </pic:pic>
              </a:graphicData>
            </a:graphic>
          </wp:inline>
        </w:drawing>
      </w:r>
    </w:p>
    <w:p w:rsidR="005B20C0" w:rsidRPr="005B20C0" w:rsidRDefault="005B20C0" w:rsidP="002C6619">
      <w:pPr>
        <w:jc w:val="both"/>
        <w:rPr>
          <w:rFonts w:ascii="Arial" w:hAnsi="Arial" w:cs="Arial"/>
          <w:sz w:val="20"/>
          <w:szCs w:val="20"/>
        </w:rPr>
      </w:pPr>
      <w:r w:rsidRPr="005B20C0">
        <w:rPr>
          <w:rFonts w:ascii="Arial" w:hAnsi="Arial" w:cs="Arial"/>
          <w:b/>
          <w:sz w:val="20"/>
          <w:szCs w:val="20"/>
        </w:rPr>
        <w:t xml:space="preserve">Figure </w:t>
      </w:r>
      <w:r w:rsidR="00E80D66">
        <w:rPr>
          <w:rFonts w:ascii="Arial" w:hAnsi="Arial" w:cs="Arial"/>
          <w:b/>
          <w:sz w:val="20"/>
          <w:szCs w:val="20"/>
        </w:rPr>
        <w:t>2</w:t>
      </w:r>
      <w:r w:rsidRPr="005B20C0">
        <w:rPr>
          <w:rFonts w:ascii="Arial" w:hAnsi="Arial" w:cs="Arial"/>
          <w:b/>
          <w:sz w:val="20"/>
          <w:szCs w:val="20"/>
        </w:rPr>
        <w:t xml:space="preserve">. </w:t>
      </w:r>
      <w:r w:rsidRPr="00E80D66">
        <w:rPr>
          <w:rFonts w:ascii="Arial" w:hAnsi="Arial" w:cs="Arial"/>
          <w:sz w:val="20"/>
          <w:szCs w:val="20"/>
        </w:rPr>
        <w:t>Géométrie du domaine de simulation.</w:t>
      </w:r>
      <w:r w:rsidRPr="005B20C0">
        <w:rPr>
          <w:rFonts w:ascii="Arial" w:hAnsi="Arial" w:cs="Arial"/>
          <w:b/>
          <w:sz w:val="20"/>
          <w:szCs w:val="20"/>
        </w:rPr>
        <w:t xml:space="preserve"> </w:t>
      </w:r>
      <w:r w:rsidRPr="005B20C0">
        <w:rPr>
          <w:rFonts w:ascii="Arial" w:hAnsi="Arial" w:cs="Arial"/>
          <w:sz w:val="20"/>
          <w:szCs w:val="20"/>
        </w:rPr>
        <w:t xml:space="preserve">Les différents éléments de la digue modélisés par le modèle sont </w:t>
      </w:r>
      <w:r w:rsidR="00D934B0" w:rsidRPr="005B20C0">
        <w:rPr>
          <w:rFonts w:ascii="Arial" w:hAnsi="Arial" w:cs="Arial"/>
          <w:sz w:val="20"/>
          <w:szCs w:val="20"/>
        </w:rPr>
        <w:t>représentés.</w:t>
      </w:r>
    </w:p>
    <w:p w:rsidR="00A64878" w:rsidRDefault="00660E9B" w:rsidP="002C6619">
      <w:pPr>
        <w:jc w:val="both"/>
        <w:rPr>
          <w:rFonts w:ascii="Arial" w:hAnsi="Arial" w:cs="Arial"/>
          <w:sz w:val="20"/>
          <w:szCs w:val="20"/>
        </w:rPr>
      </w:pPr>
      <w:r>
        <w:rPr>
          <w:rFonts w:ascii="Arial" w:hAnsi="Arial" w:cs="Arial"/>
          <w:sz w:val="20"/>
          <w:szCs w:val="20"/>
        </w:rPr>
        <w:t xml:space="preserve">Le </w:t>
      </w:r>
      <w:proofErr w:type="spellStart"/>
      <w:r>
        <w:rPr>
          <w:rFonts w:ascii="Arial" w:hAnsi="Arial" w:cs="Arial"/>
          <w:sz w:val="20"/>
          <w:szCs w:val="20"/>
        </w:rPr>
        <w:t>tomogra</w:t>
      </w:r>
      <w:r w:rsidR="003C2D9B">
        <w:rPr>
          <w:rFonts w:ascii="Arial" w:hAnsi="Arial" w:cs="Arial"/>
          <w:sz w:val="20"/>
          <w:szCs w:val="20"/>
        </w:rPr>
        <w:t>mme</w:t>
      </w:r>
      <w:proofErr w:type="spellEnd"/>
      <w:r w:rsidR="003C2D9B">
        <w:rPr>
          <w:rFonts w:ascii="Arial" w:hAnsi="Arial" w:cs="Arial"/>
          <w:sz w:val="20"/>
          <w:szCs w:val="20"/>
        </w:rPr>
        <w:t xml:space="preserve"> de </w:t>
      </w:r>
      <w:r>
        <w:rPr>
          <w:rFonts w:ascii="Arial" w:hAnsi="Arial" w:cs="Arial"/>
          <w:sz w:val="20"/>
          <w:szCs w:val="20"/>
        </w:rPr>
        <w:t>résistivité</w:t>
      </w:r>
      <w:r w:rsidR="003C2D9B">
        <w:rPr>
          <w:rFonts w:ascii="Arial" w:hAnsi="Arial" w:cs="Arial"/>
          <w:sz w:val="20"/>
          <w:szCs w:val="20"/>
        </w:rPr>
        <w:t xml:space="preserve"> électrique met en évidence </w:t>
      </w:r>
      <w:r>
        <w:rPr>
          <w:rFonts w:ascii="Arial" w:hAnsi="Arial" w:cs="Arial"/>
          <w:sz w:val="20"/>
          <w:szCs w:val="20"/>
        </w:rPr>
        <w:t>une</w:t>
      </w:r>
      <w:r w:rsidR="003C2D9B">
        <w:rPr>
          <w:rFonts w:ascii="Arial" w:hAnsi="Arial" w:cs="Arial"/>
          <w:sz w:val="20"/>
          <w:szCs w:val="20"/>
        </w:rPr>
        <w:t xml:space="preserve"> </w:t>
      </w:r>
      <w:r>
        <w:rPr>
          <w:rFonts w:ascii="Arial" w:hAnsi="Arial" w:cs="Arial"/>
          <w:sz w:val="20"/>
          <w:szCs w:val="20"/>
        </w:rPr>
        <w:t>anomalie</w:t>
      </w:r>
      <w:r w:rsidR="003C2D9B">
        <w:rPr>
          <w:rFonts w:ascii="Arial" w:hAnsi="Arial" w:cs="Arial"/>
          <w:sz w:val="20"/>
          <w:szCs w:val="20"/>
        </w:rPr>
        <w:t xml:space="preserve"> conductrice d’environ 400 </w:t>
      </w:r>
      <w:proofErr w:type="spellStart"/>
      <w:r w:rsidR="003C2D9B">
        <w:rPr>
          <w:rFonts w:ascii="Arial" w:hAnsi="Arial" w:cs="Arial"/>
          <w:sz w:val="20"/>
          <w:szCs w:val="20"/>
        </w:rPr>
        <w:t>Ohm.m</w:t>
      </w:r>
      <w:proofErr w:type="spellEnd"/>
      <w:r w:rsidR="003C2D9B">
        <w:rPr>
          <w:rFonts w:ascii="Arial" w:hAnsi="Arial" w:cs="Arial"/>
          <w:sz w:val="20"/>
          <w:szCs w:val="20"/>
        </w:rPr>
        <w:t xml:space="preserve"> (voir Figure</w:t>
      </w:r>
      <w:r w:rsidR="00E80D66">
        <w:rPr>
          <w:rFonts w:ascii="Arial" w:hAnsi="Arial" w:cs="Arial"/>
          <w:sz w:val="20"/>
          <w:szCs w:val="20"/>
        </w:rPr>
        <w:t xml:space="preserve"> 1</w:t>
      </w:r>
      <w:r w:rsidR="003C2D9B">
        <w:rPr>
          <w:rFonts w:ascii="Arial" w:hAnsi="Arial" w:cs="Arial"/>
          <w:sz w:val="20"/>
          <w:szCs w:val="20"/>
        </w:rPr>
        <w:t xml:space="preserve">). </w:t>
      </w:r>
      <w:r>
        <w:rPr>
          <w:rFonts w:ascii="Arial" w:hAnsi="Arial" w:cs="Arial"/>
          <w:sz w:val="20"/>
          <w:szCs w:val="20"/>
        </w:rPr>
        <w:t>Nous attribuons cette valeur de résistivité électrique au chemin préférentiel supposé et nous faisons varier sa perméabilité dans la gamme de valeurs </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-10</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-9</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-8</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-7</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-6</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-5</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-4</w:t>
      </w:r>
      <w:r w:rsidR="004C14E0">
        <w:rPr>
          <w:rFonts w:ascii="Arial" w:eastAsia="Times New Roman" w:hAnsi="Arial" w:cs="Arial"/>
          <w:sz w:val="20"/>
          <w:szCs w:val="20"/>
          <w:lang w:eastAsia="fr-FR"/>
        </w:rPr>
        <w:t>,</w:t>
      </w:r>
      <w:r w:rsidRPr="00660E9B">
        <w:rPr>
          <w:rFonts w:ascii="Arial" w:eastAsia="Times New Roman" w:hAnsi="Arial" w:cs="Arial"/>
          <w:sz w:val="20"/>
          <w:szCs w:val="20"/>
          <w:lang w:eastAsia="fr-FR"/>
        </w:rPr>
        <w:t xml:space="preserve"> 10</w:t>
      </w:r>
      <w:r w:rsidRPr="00660E9B">
        <w:rPr>
          <w:rFonts w:ascii="Arial" w:eastAsia="Times New Roman" w:hAnsi="Arial" w:cs="Arial"/>
          <w:sz w:val="20"/>
          <w:szCs w:val="20"/>
          <w:vertAlign w:val="superscript"/>
          <w:lang w:eastAsia="fr-FR"/>
        </w:rPr>
        <w:t>-3</w:t>
      </w:r>
      <w:r w:rsidRPr="00660E9B">
        <w:rPr>
          <w:rFonts w:ascii="Arial" w:eastAsia="Times New Roman" w:hAnsi="Arial" w:cs="Arial"/>
          <w:sz w:val="20"/>
          <w:szCs w:val="20"/>
          <w:lang w:eastAsia="fr-FR"/>
        </w:rPr>
        <w:t>, 10</w:t>
      </w:r>
      <w:r w:rsidRPr="00660E9B">
        <w:rPr>
          <w:rFonts w:ascii="Arial" w:eastAsia="Times New Roman" w:hAnsi="Arial" w:cs="Arial"/>
          <w:sz w:val="20"/>
          <w:szCs w:val="20"/>
          <w:vertAlign w:val="superscript"/>
          <w:lang w:eastAsia="fr-FR"/>
        </w:rPr>
        <w:t>-2</w:t>
      </w:r>
      <w:r w:rsidRPr="00660E9B">
        <w:rPr>
          <w:rFonts w:ascii="Arial" w:eastAsia="Times New Roman" w:hAnsi="Arial" w:cs="Arial"/>
          <w:sz w:val="20"/>
          <w:szCs w:val="20"/>
          <w:lang w:eastAsia="fr-FR"/>
        </w:rPr>
        <w:t>] exprimées en m</w:t>
      </w:r>
      <w:r w:rsidRPr="00660E9B">
        <w:rPr>
          <w:rFonts w:ascii="Arial" w:eastAsia="Times New Roman" w:hAnsi="Arial" w:cs="Arial"/>
          <w:sz w:val="20"/>
          <w:szCs w:val="20"/>
          <w:vertAlign w:val="superscript"/>
          <w:lang w:eastAsia="fr-FR"/>
        </w:rPr>
        <w:t>2</w:t>
      </w:r>
      <w:r w:rsidRPr="00660E9B">
        <w:rPr>
          <w:rFonts w:ascii="Arial" w:eastAsia="Times New Roman" w:hAnsi="Arial" w:cs="Arial"/>
          <w:sz w:val="20"/>
          <w:szCs w:val="20"/>
          <w:lang w:eastAsia="fr-FR"/>
        </w:rPr>
        <w:t>.</w:t>
      </w:r>
      <w:r w:rsidR="004C14E0">
        <w:rPr>
          <w:rFonts w:ascii="Arial" w:eastAsia="Times New Roman" w:hAnsi="Arial" w:cs="Arial"/>
          <w:sz w:val="20"/>
          <w:szCs w:val="20"/>
          <w:lang w:eastAsia="fr-FR"/>
        </w:rPr>
        <w:t xml:space="preserve"> Le </w:t>
      </w:r>
      <w:r w:rsidR="00D048A0">
        <w:rPr>
          <w:rFonts w:ascii="Arial" w:eastAsia="Times New Roman" w:hAnsi="Arial" w:cs="Arial"/>
          <w:sz w:val="20"/>
          <w:szCs w:val="20"/>
          <w:lang w:eastAsia="fr-FR"/>
        </w:rPr>
        <w:t>résultat</w:t>
      </w:r>
      <w:r w:rsidR="004C14E0">
        <w:rPr>
          <w:rFonts w:ascii="Arial" w:eastAsia="Times New Roman" w:hAnsi="Arial" w:cs="Arial"/>
          <w:sz w:val="20"/>
          <w:szCs w:val="20"/>
          <w:lang w:eastAsia="fr-FR"/>
        </w:rPr>
        <w:t xml:space="preserve"> d’</w:t>
      </w:r>
      <w:r w:rsidR="00BE054E">
        <w:rPr>
          <w:rFonts w:ascii="Arial" w:eastAsia="Times New Roman" w:hAnsi="Arial" w:cs="Arial"/>
          <w:sz w:val="20"/>
          <w:szCs w:val="20"/>
          <w:lang w:eastAsia="fr-FR"/>
        </w:rPr>
        <w:t>une</w:t>
      </w:r>
      <w:r w:rsidR="004C14E0">
        <w:rPr>
          <w:rFonts w:ascii="Arial" w:eastAsia="Times New Roman" w:hAnsi="Arial" w:cs="Arial"/>
          <w:sz w:val="20"/>
          <w:szCs w:val="20"/>
          <w:lang w:eastAsia="fr-FR"/>
        </w:rPr>
        <w:t xml:space="preserve"> telle étude de </w:t>
      </w:r>
      <w:r w:rsidR="00BE054E">
        <w:rPr>
          <w:rFonts w:ascii="Arial" w:eastAsia="Times New Roman" w:hAnsi="Arial" w:cs="Arial"/>
          <w:sz w:val="20"/>
          <w:szCs w:val="20"/>
          <w:lang w:eastAsia="fr-FR"/>
        </w:rPr>
        <w:t>sensibilité</w:t>
      </w:r>
      <w:r w:rsidR="004C14E0">
        <w:rPr>
          <w:rFonts w:ascii="Arial" w:eastAsia="Times New Roman" w:hAnsi="Arial" w:cs="Arial"/>
          <w:sz w:val="20"/>
          <w:szCs w:val="20"/>
          <w:lang w:eastAsia="fr-FR"/>
        </w:rPr>
        <w:t xml:space="preserve"> est </w:t>
      </w:r>
      <w:proofErr w:type="gramStart"/>
      <w:r w:rsidR="00C424CA">
        <w:rPr>
          <w:rFonts w:ascii="Arial" w:eastAsia="Times New Roman" w:hAnsi="Arial" w:cs="Arial"/>
          <w:sz w:val="20"/>
          <w:szCs w:val="20"/>
          <w:lang w:eastAsia="fr-FR"/>
        </w:rPr>
        <w:t>illustrée</w:t>
      </w:r>
      <w:proofErr w:type="gramEnd"/>
      <w:r w:rsidR="001E3E98">
        <w:rPr>
          <w:rFonts w:ascii="Arial" w:eastAsia="Times New Roman" w:hAnsi="Arial" w:cs="Arial"/>
          <w:sz w:val="20"/>
          <w:szCs w:val="20"/>
          <w:lang w:eastAsia="fr-FR"/>
        </w:rPr>
        <w:t xml:space="preserve"> sur la Figure 3</w:t>
      </w:r>
      <w:r w:rsidR="004C14E0">
        <w:rPr>
          <w:rFonts w:ascii="Arial" w:eastAsia="Times New Roman" w:hAnsi="Arial" w:cs="Arial"/>
          <w:sz w:val="20"/>
          <w:szCs w:val="20"/>
          <w:lang w:eastAsia="fr-FR"/>
        </w:rPr>
        <w:t xml:space="preserve">. </w:t>
      </w:r>
      <w:r w:rsidR="004C14E0" w:rsidRPr="00C424CA">
        <w:rPr>
          <w:rFonts w:ascii="Arial" w:eastAsia="Times New Roman" w:hAnsi="Arial" w:cs="Arial"/>
          <w:sz w:val="20"/>
          <w:szCs w:val="20"/>
          <w:lang w:eastAsia="fr-FR"/>
        </w:rPr>
        <w:t>Nous voyons que la valeur de perméabilité permettant de reproduire les anomalies PS observées (soit -5mV en amont et 30 mV en aval)</w:t>
      </w:r>
      <w:r w:rsidR="00C424CA" w:rsidRPr="00C424CA">
        <w:rPr>
          <w:rFonts w:ascii="Arial" w:eastAsia="Times New Roman" w:hAnsi="Arial" w:cs="Arial"/>
          <w:sz w:val="20"/>
          <w:szCs w:val="20"/>
          <w:lang w:eastAsia="fr-FR"/>
        </w:rPr>
        <w:t xml:space="preserve"> </w:t>
      </w:r>
      <w:r w:rsidR="004C14E0" w:rsidRPr="00C424CA">
        <w:rPr>
          <w:rFonts w:ascii="Arial" w:eastAsia="Times New Roman" w:hAnsi="Arial" w:cs="Arial"/>
          <w:sz w:val="20"/>
          <w:szCs w:val="20"/>
          <w:lang w:eastAsia="fr-FR"/>
        </w:rPr>
        <w:t>se situe autour de 10</w:t>
      </w:r>
      <w:r w:rsidR="004C14E0" w:rsidRPr="00C424CA">
        <w:rPr>
          <w:rFonts w:ascii="Arial" w:eastAsia="Times New Roman" w:hAnsi="Arial" w:cs="Arial"/>
          <w:sz w:val="20"/>
          <w:szCs w:val="20"/>
          <w:vertAlign w:val="superscript"/>
          <w:lang w:eastAsia="fr-FR"/>
        </w:rPr>
        <w:t>-8</w:t>
      </w:r>
      <w:r w:rsidR="004C14E0" w:rsidRPr="00C424CA">
        <w:rPr>
          <w:rFonts w:ascii="Arial" w:eastAsia="Times New Roman" w:hAnsi="Arial" w:cs="Arial"/>
          <w:sz w:val="20"/>
          <w:szCs w:val="20"/>
          <w:lang w:eastAsia="fr-FR"/>
        </w:rPr>
        <w:t xml:space="preserve"> m</w:t>
      </w:r>
      <w:r w:rsidR="004C14E0" w:rsidRPr="00C424CA">
        <w:rPr>
          <w:rFonts w:ascii="Arial" w:eastAsia="Times New Roman" w:hAnsi="Arial" w:cs="Arial"/>
          <w:sz w:val="20"/>
          <w:szCs w:val="20"/>
          <w:vertAlign w:val="superscript"/>
          <w:lang w:eastAsia="fr-FR"/>
        </w:rPr>
        <w:t>2</w:t>
      </w:r>
      <w:r w:rsidR="004C14E0" w:rsidRPr="00C424CA">
        <w:rPr>
          <w:rFonts w:ascii="Arial" w:eastAsia="Times New Roman" w:hAnsi="Arial" w:cs="Arial"/>
          <w:sz w:val="20"/>
          <w:szCs w:val="20"/>
          <w:lang w:eastAsia="fr-FR"/>
        </w:rPr>
        <w:t>.</w:t>
      </w:r>
      <w:r w:rsidR="00D048A0" w:rsidRPr="00C424CA">
        <w:rPr>
          <w:rFonts w:ascii="Arial" w:eastAsia="Times New Roman" w:hAnsi="Arial" w:cs="Arial"/>
          <w:sz w:val="20"/>
          <w:szCs w:val="20"/>
          <w:lang w:eastAsia="fr-FR"/>
        </w:rPr>
        <w:t xml:space="preserve"> </w:t>
      </w:r>
      <w:r w:rsidR="00BE054E" w:rsidRPr="00C424CA">
        <w:rPr>
          <w:rFonts w:ascii="Arial" w:eastAsia="Times New Roman" w:hAnsi="Arial" w:cs="Arial"/>
          <w:sz w:val="20"/>
          <w:szCs w:val="20"/>
          <w:lang w:eastAsia="fr-FR"/>
        </w:rPr>
        <w:t>Afin</w:t>
      </w:r>
      <w:r w:rsidR="00D048A0" w:rsidRPr="00C424CA">
        <w:rPr>
          <w:rFonts w:ascii="Arial" w:eastAsia="Times New Roman" w:hAnsi="Arial" w:cs="Arial"/>
          <w:sz w:val="20"/>
          <w:szCs w:val="20"/>
          <w:lang w:eastAsia="fr-FR"/>
        </w:rPr>
        <w:t xml:space="preserve"> </w:t>
      </w:r>
      <w:r w:rsidR="00BE054E" w:rsidRPr="00C424CA">
        <w:rPr>
          <w:rFonts w:ascii="Arial" w:eastAsia="Times New Roman" w:hAnsi="Arial" w:cs="Arial"/>
          <w:sz w:val="20"/>
          <w:szCs w:val="20"/>
          <w:lang w:eastAsia="fr-FR"/>
        </w:rPr>
        <w:t>d</w:t>
      </w:r>
      <w:r w:rsidR="00D048A0" w:rsidRPr="00C424CA">
        <w:rPr>
          <w:rFonts w:ascii="Arial" w:eastAsia="Times New Roman" w:hAnsi="Arial" w:cs="Arial"/>
          <w:sz w:val="20"/>
          <w:szCs w:val="20"/>
          <w:lang w:eastAsia="fr-FR"/>
        </w:rPr>
        <w:t xml:space="preserve">e vérifier la véracité de cet ordre de grandeur par un autre moyen, nous lançons </w:t>
      </w:r>
      <w:r w:rsidR="00BE054E" w:rsidRPr="00C424CA">
        <w:rPr>
          <w:rFonts w:ascii="Arial" w:eastAsia="Times New Roman" w:hAnsi="Arial" w:cs="Arial"/>
          <w:sz w:val="20"/>
          <w:szCs w:val="20"/>
          <w:lang w:eastAsia="fr-FR"/>
        </w:rPr>
        <w:t>une</w:t>
      </w:r>
      <w:r w:rsidR="00D048A0" w:rsidRPr="00C424CA">
        <w:rPr>
          <w:rFonts w:ascii="Arial" w:eastAsia="Times New Roman" w:hAnsi="Arial" w:cs="Arial"/>
          <w:sz w:val="20"/>
          <w:szCs w:val="20"/>
          <w:lang w:eastAsia="fr-FR"/>
        </w:rPr>
        <w:t xml:space="preserve"> inversion </w:t>
      </w:r>
      <w:proofErr w:type="spellStart"/>
      <w:r w:rsidR="00D048A0" w:rsidRPr="00C424CA">
        <w:rPr>
          <w:rFonts w:ascii="Arial" w:eastAsia="Times New Roman" w:hAnsi="Arial" w:cs="Arial"/>
          <w:sz w:val="20"/>
          <w:szCs w:val="20"/>
          <w:lang w:eastAsia="fr-FR"/>
        </w:rPr>
        <w:t>McMC</w:t>
      </w:r>
      <w:proofErr w:type="spellEnd"/>
      <w:r w:rsidR="00D048A0" w:rsidRPr="00C424CA">
        <w:rPr>
          <w:rFonts w:ascii="Arial" w:eastAsia="Times New Roman" w:hAnsi="Arial" w:cs="Arial"/>
          <w:sz w:val="20"/>
          <w:szCs w:val="20"/>
          <w:lang w:eastAsia="fr-FR"/>
        </w:rPr>
        <w:t xml:space="preserve"> des </w:t>
      </w:r>
      <w:r w:rsidR="00BE054E" w:rsidRPr="00C424CA">
        <w:rPr>
          <w:rFonts w:ascii="Arial" w:eastAsia="Times New Roman" w:hAnsi="Arial" w:cs="Arial"/>
          <w:sz w:val="20"/>
          <w:szCs w:val="20"/>
          <w:lang w:eastAsia="fr-FR"/>
        </w:rPr>
        <w:t>propriétés</w:t>
      </w:r>
      <w:r w:rsidR="00D048A0" w:rsidRPr="00C424CA">
        <w:rPr>
          <w:rFonts w:ascii="Arial" w:eastAsia="Times New Roman" w:hAnsi="Arial" w:cs="Arial"/>
          <w:sz w:val="20"/>
          <w:szCs w:val="20"/>
          <w:lang w:eastAsia="fr-FR"/>
        </w:rPr>
        <w:t xml:space="preserve"> </w:t>
      </w:r>
      <w:r w:rsidR="00BE054E" w:rsidRPr="00C424CA">
        <w:rPr>
          <w:rFonts w:ascii="Arial" w:eastAsia="Times New Roman" w:hAnsi="Arial" w:cs="Arial"/>
          <w:sz w:val="20"/>
          <w:szCs w:val="20"/>
          <w:lang w:eastAsia="fr-FR"/>
        </w:rPr>
        <w:t>hydrauliques</w:t>
      </w:r>
      <w:r w:rsidR="00D048A0" w:rsidRPr="00C424CA">
        <w:rPr>
          <w:rFonts w:ascii="Arial" w:eastAsia="Times New Roman" w:hAnsi="Arial" w:cs="Arial"/>
          <w:sz w:val="20"/>
          <w:szCs w:val="20"/>
          <w:lang w:eastAsia="fr-FR"/>
        </w:rPr>
        <w:t xml:space="preserve"> du chemin </w:t>
      </w:r>
      <w:r w:rsidR="00BE054E" w:rsidRPr="00C424CA">
        <w:rPr>
          <w:rFonts w:ascii="Arial" w:eastAsia="Times New Roman" w:hAnsi="Arial" w:cs="Arial"/>
          <w:sz w:val="20"/>
          <w:szCs w:val="20"/>
          <w:lang w:eastAsia="fr-FR"/>
        </w:rPr>
        <w:t>préférentiel</w:t>
      </w:r>
      <w:r w:rsidR="00D048A0" w:rsidRPr="00C424CA">
        <w:rPr>
          <w:rFonts w:ascii="Arial" w:eastAsia="Times New Roman" w:hAnsi="Arial" w:cs="Arial"/>
          <w:sz w:val="20"/>
          <w:szCs w:val="20"/>
          <w:lang w:eastAsia="fr-FR"/>
        </w:rPr>
        <w:t xml:space="preserve">. Les inconnues du problème inverse sont </w:t>
      </w:r>
      <w:r w:rsidR="00BE054E" w:rsidRPr="00C424CA">
        <w:rPr>
          <w:rFonts w:ascii="Arial" w:eastAsia="Times New Roman" w:hAnsi="Arial" w:cs="Arial"/>
          <w:sz w:val="20"/>
          <w:szCs w:val="20"/>
          <w:lang w:eastAsia="fr-FR"/>
        </w:rPr>
        <w:t>la</w:t>
      </w:r>
      <w:r w:rsidR="00D048A0" w:rsidRPr="00C424CA">
        <w:rPr>
          <w:rFonts w:ascii="Arial" w:eastAsia="Times New Roman" w:hAnsi="Arial" w:cs="Arial"/>
          <w:sz w:val="20"/>
          <w:szCs w:val="20"/>
          <w:lang w:eastAsia="fr-FR"/>
        </w:rPr>
        <w:t xml:space="preserve"> </w:t>
      </w:r>
      <w:r w:rsidR="00BE054E" w:rsidRPr="00C424CA">
        <w:rPr>
          <w:rFonts w:ascii="Arial" w:eastAsia="Times New Roman" w:hAnsi="Arial" w:cs="Arial"/>
          <w:sz w:val="20"/>
          <w:szCs w:val="20"/>
          <w:lang w:eastAsia="fr-FR"/>
        </w:rPr>
        <w:t>perméabilité</w:t>
      </w:r>
      <w:r w:rsidR="00D048A0" w:rsidRPr="00C424CA">
        <w:rPr>
          <w:rFonts w:ascii="Arial" w:eastAsia="Times New Roman" w:hAnsi="Arial" w:cs="Arial"/>
          <w:sz w:val="20"/>
          <w:szCs w:val="20"/>
          <w:lang w:eastAsia="fr-FR"/>
        </w:rPr>
        <w:t xml:space="preserve"> du chemin </w:t>
      </w:r>
      <w:r w:rsidR="00BE054E" w:rsidRPr="00C424CA">
        <w:rPr>
          <w:rFonts w:ascii="Arial" w:eastAsia="Times New Roman" w:hAnsi="Arial" w:cs="Arial"/>
          <w:sz w:val="20"/>
          <w:szCs w:val="20"/>
          <w:lang w:eastAsia="fr-FR"/>
        </w:rPr>
        <w:t>préférentiel</w:t>
      </w:r>
      <w:r w:rsidR="00D048A0" w:rsidRPr="00C424CA">
        <w:rPr>
          <w:rFonts w:ascii="Arial" w:eastAsia="Times New Roman" w:hAnsi="Arial" w:cs="Arial"/>
          <w:sz w:val="20"/>
          <w:szCs w:val="20"/>
          <w:lang w:eastAsia="fr-FR"/>
        </w:rPr>
        <w:t xml:space="preserve"> </w:t>
      </w:r>
      <w:r w:rsidR="00BE054E" w:rsidRPr="00C424CA">
        <w:rPr>
          <w:rFonts w:ascii="Arial" w:eastAsia="Times New Roman" w:hAnsi="Arial" w:cs="Arial"/>
          <w:sz w:val="20"/>
          <w:szCs w:val="20"/>
          <w:lang w:eastAsia="fr-FR"/>
        </w:rPr>
        <w:t>ainsi</w:t>
      </w:r>
      <w:r w:rsidR="00D048A0" w:rsidRPr="00C424CA">
        <w:rPr>
          <w:rFonts w:ascii="Arial" w:eastAsia="Times New Roman" w:hAnsi="Arial" w:cs="Arial"/>
          <w:sz w:val="20"/>
          <w:szCs w:val="20"/>
          <w:lang w:eastAsia="fr-FR"/>
        </w:rPr>
        <w:t xml:space="preserve"> que la pression de sortie d’eau c’est-à-dire dans la zone de résurgence.</w:t>
      </w:r>
      <w:r w:rsidR="00D048A0" w:rsidRPr="00C424CA">
        <w:rPr>
          <w:rFonts w:ascii="Arial" w:hAnsi="Arial" w:cs="Arial"/>
          <w:sz w:val="20"/>
          <w:szCs w:val="20"/>
        </w:rPr>
        <w:t xml:space="preserve"> </w:t>
      </w:r>
      <w:r w:rsidR="00D048A0" w:rsidRPr="00C424CA">
        <w:rPr>
          <w:rFonts w:ascii="Arial" w:eastAsia="Times New Roman" w:hAnsi="Arial" w:cs="Arial"/>
          <w:sz w:val="20"/>
          <w:szCs w:val="20"/>
          <w:lang w:eastAsia="fr-FR"/>
        </w:rPr>
        <w:t xml:space="preserve">L’algorithme inverse a convergé après 30000 </w:t>
      </w:r>
      <w:r w:rsidR="006B5D1E" w:rsidRPr="00C424CA">
        <w:rPr>
          <w:rFonts w:ascii="Arial" w:eastAsia="Times New Roman" w:hAnsi="Arial" w:cs="Arial"/>
          <w:sz w:val="20"/>
          <w:szCs w:val="20"/>
          <w:lang w:eastAsia="fr-FR"/>
        </w:rPr>
        <w:t xml:space="preserve">itérations et 12 h de calcul sur un ordinateur à 32 cœurs. La valeur de perméabilité estimée est de </w:t>
      </w:r>
      <w:r w:rsidR="006B5D1E" w:rsidRPr="00C424CA">
        <w:rPr>
          <w:rFonts w:ascii="Arial" w:hAnsi="Arial" w:cs="Arial"/>
          <w:sz w:val="20"/>
          <w:szCs w:val="20"/>
        </w:rPr>
        <w:t>5 10</w:t>
      </w:r>
      <w:r w:rsidR="006B5D1E" w:rsidRPr="00C424CA">
        <w:rPr>
          <w:rFonts w:ascii="Arial" w:hAnsi="Arial" w:cs="Arial"/>
          <w:sz w:val="20"/>
          <w:szCs w:val="20"/>
          <w:vertAlign w:val="superscript"/>
        </w:rPr>
        <w:t xml:space="preserve">-9 </w:t>
      </w:r>
      <w:r w:rsidR="006B5D1E" w:rsidRPr="00C424CA">
        <w:rPr>
          <w:rFonts w:ascii="Arial" w:hAnsi="Arial" w:cs="Arial"/>
          <w:sz w:val="20"/>
          <w:szCs w:val="20"/>
        </w:rPr>
        <w:t>m</w:t>
      </w:r>
      <w:r w:rsidR="006B5D1E" w:rsidRPr="00C424CA">
        <w:rPr>
          <w:rFonts w:ascii="Arial" w:hAnsi="Arial" w:cs="Arial"/>
          <w:sz w:val="20"/>
          <w:szCs w:val="20"/>
          <w:vertAlign w:val="superscript"/>
        </w:rPr>
        <w:t>2</w:t>
      </w:r>
      <w:r w:rsidR="006B5D1E" w:rsidRPr="00C424CA">
        <w:rPr>
          <w:rFonts w:ascii="Arial" w:hAnsi="Arial" w:cs="Arial"/>
          <w:sz w:val="20"/>
          <w:szCs w:val="20"/>
        </w:rPr>
        <w:t xml:space="preserve"> et la pression en aval</w:t>
      </w:r>
      <w:r w:rsidR="00937066">
        <w:rPr>
          <w:rFonts w:ascii="Arial" w:hAnsi="Arial" w:cs="Arial"/>
          <w:sz w:val="20"/>
          <w:szCs w:val="20"/>
        </w:rPr>
        <w:t xml:space="preserve"> est de </w:t>
      </w:r>
      <w:r w:rsidR="00937066" w:rsidRPr="00C424CA">
        <w:rPr>
          <w:rFonts w:ascii="Arial" w:hAnsi="Arial" w:cs="Arial"/>
          <w:sz w:val="20"/>
          <w:szCs w:val="20"/>
        </w:rPr>
        <w:t>982 Pa</w:t>
      </w:r>
      <w:r w:rsidR="00C424CA" w:rsidRPr="00C424CA">
        <w:rPr>
          <w:rFonts w:ascii="Arial" w:hAnsi="Arial" w:cs="Arial"/>
          <w:sz w:val="20"/>
          <w:szCs w:val="20"/>
        </w:rPr>
        <w:t xml:space="preserve">. </w:t>
      </w:r>
      <w:r w:rsidR="006B5D1E" w:rsidRPr="00C424CA">
        <w:rPr>
          <w:rFonts w:ascii="Arial" w:hAnsi="Arial" w:cs="Arial"/>
          <w:sz w:val="20"/>
          <w:szCs w:val="20"/>
        </w:rPr>
        <w:t xml:space="preserve">En effet, </w:t>
      </w:r>
      <w:r w:rsidR="00BE054E" w:rsidRPr="00C424CA">
        <w:rPr>
          <w:rFonts w:ascii="Arial" w:hAnsi="Arial" w:cs="Arial"/>
          <w:sz w:val="20"/>
          <w:szCs w:val="20"/>
        </w:rPr>
        <w:t>cette</w:t>
      </w:r>
      <w:r w:rsidR="006B5D1E" w:rsidRPr="00C424CA">
        <w:rPr>
          <w:rFonts w:ascii="Arial" w:hAnsi="Arial" w:cs="Arial"/>
          <w:sz w:val="20"/>
          <w:szCs w:val="20"/>
        </w:rPr>
        <w:t xml:space="preserve"> valeur de perméabilité </w:t>
      </w:r>
      <w:r w:rsidR="00937066">
        <w:rPr>
          <w:rFonts w:ascii="Arial" w:hAnsi="Arial" w:cs="Arial"/>
          <w:sz w:val="20"/>
          <w:szCs w:val="20"/>
        </w:rPr>
        <w:t>se situe</w:t>
      </w:r>
      <w:r w:rsidR="006B5D1E" w:rsidRPr="00C424CA">
        <w:rPr>
          <w:rFonts w:ascii="Arial" w:hAnsi="Arial" w:cs="Arial"/>
          <w:sz w:val="20"/>
          <w:szCs w:val="20"/>
        </w:rPr>
        <w:t xml:space="preserve"> </w:t>
      </w:r>
      <w:r w:rsidR="00BE054E" w:rsidRPr="00C424CA">
        <w:rPr>
          <w:rFonts w:ascii="Arial" w:hAnsi="Arial" w:cs="Arial"/>
          <w:sz w:val="20"/>
          <w:szCs w:val="20"/>
        </w:rPr>
        <w:t>bien</w:t>
      </w:r>
      <w:r w:rsidR="006B5D1E" w:rsidRPr="00C424CA">
        <w:rPr>
          <w:rFonts w:ascii="Arial" w:hAnsi="Arial" w:cs="Arial"/>
          <w:sz w:val="20"/>
          <w:szCs w:val="20"/>
        </w:rPr>
        <w:t xml:space="preserve"> </w:t>
      </w:r>
      <w:r w:rsidR="00BE054E" w:rsidRPr="00C424CA">
        <w:rPr>
          <w:rFonts w:ascii="Arial" w:hAnsi="Arial" w:cs="Arial"/>
          <w:sz w:val="20"/>
          <w:szCs w:val="20"/>
        </w:rPr>
        <w:t>d</w:t>
      </w:r>
      <w:r w:rsidR="006B5D1E" w:rsidRPr="00C424CA">
        <w:rPr>
          <w:rFonts w:ascii="Arial" w:hAnsi="Arial" w:cs="Arial"/>
          <w:sz w:val="20"/>
          <w:szCs w:val="20"/>
        </w:rPr>
        <w:t xml:space="preserve">ans </w:t>
      </w:r>
      <w:r w:rsidR="00BE054E" w:rsidRPr="00C424CA">
        <w:rPr>
          <w:rFonts w:ascii="Arial" w:hAnsi="Arial" w:cs="Arial"/>
          <w:sz w:val="20"/>
          <w:szCs w:val="20"/>
        </w:rPr>
        <w:t>l’</w:t>
      </w:r>
      <w:r w:rsidR="006B5D1E" w:rsidRPr="00C424CA">
        <w:rPr>
          <w:rFonts w:ascii="Arial" w:hAnsi="Arial" w:cs="Arial"/>
          <w:sz w:val="20"/>
          <w:szCs w:val="20"/>
        </w:rPr>
        <w:t xml:space="preserve">ordre de </w:t>
      </w:r>
      <w:r w:rsidR="00BE054E" w:rsidRPr="00C424CA">
        <w:rPr>
          <w:rFonts w:ascii="Arial" w:hAnsi="Arial" w:cs="Arial"/>
          <w:sz w:val="20"/>
          <w:szCs w:val="20"/>
        </w:rPr>
        <w:t>grandeur</w:t>
      </w:r>
      <w:r w:rsidR="006B5D1E" w:rsidRPr="00C424CA">
        <w:rPr>
          <w:rFonts w:ascii="Arial" w:hAnsi="Arial" w:cs="Arial"/>
          <w:sz w:val="20"/>
          <w:szCs w:val="20"/>
        </w:rPr>
        <w:t xml:space="preserve"> de celle prédite à travers l’étude de </w:t>
      </w:r>
      <w:r w:rsidR="00BE054E" w:rsidRPr="00C424CA">
        <w:rPr>
          <w:rFonts w:ascii="Arial" w:hAnsi="Arial" w:cs="Arial"/>
          <w:sz w:val="20"/>
          <w:szCs w:val="20"/>
        </w:rPr>
        <w:t>sensibilité</w:t>
      </w:r>
      <w:r w:rsidR="006B5D1E" w:rsidRPr="00C424CA">
        <w:rPr>
          <w:rFonts w:ascii="Arial" w:hAnsi="Arial" w:cs="Arial"/>
          <w:sz w:val="20"/>
          <w:szCs w:val="20"/>
        </w:rPr>
        <w:t>.</w:t>
      </w:r>
      <w:r w:rsidR="00C424CA" w:rsidRPr="00C424CA">
        <w:rPr>
          <w:rFonts w:ascii="Arial" w:hAnsi="Arial" w:cs="Arial"/>
          <w:sz w:val="20"/>
          <w:szCs w:val="20"/>
        </w:rPr>
        <w:t xml:space="preserve"> </w:t>
      </w:r>
      <w:r w:rsidR="00BE054E" w:rsidRPr="00C424CA">
        <w:rPr>
          <w:rFonts w:ascii="Arial" w:hAnsi="Arial" w:cs="Arial"/>
          <w:sz w:val="20"/>
          <w:szCs w:val="20"/>
        </w:rPr>
        <w:t>Par ailleurs, nous remarquons que les valeurs de perméabilité et de pression reconstruites lors de la modélisation inverse permettent de retrouver les valeurs de données PS observées sur le terrain</w:t>
      </w:r>
      <w:r w:rsidR="00937066">
        <w:rPr>
          <w:rFonts w:ascii="Arial" w:hAnsi="Arial" w:cs="Arial"/>
          <w:sz w:val="20"/>
          <w:szCs w:val="20"/>
        </w:rPr>
        <w:t>,</w:t>
      </w:r>
      <w:r w:rsidR="00BE054E" w:rsidRPr="00C424CA">
        <w:rPr>
          <w:rFonts w:ascii="Arial" w:hAnsi="Arial" w:cs="Arial"/>
          <w:sz w:val="20"/>
          <w:szCs w:val="20"/>
        </w:rPr>
        <w:t xml:space="preserve"> soit autour de -5 mV à 1m du fond de la retenue et autour de +30 mV en aval dans la zone en aval en pied de digue (Figure</w:t>
      </w:r>
      <w:r w:rsidR="00E80D66">
        <w:rPr>
          <w:rFonts w:ascii="Arial" w:hAnsi="Arial" w:cs="Arial"/>
          <w:sz w:val="20"/>
          <w:szCs w:val="20"/>
        </w:rPr>
        <w:t xml:space="preserve"> 4</w:t>
      </w:r>
      <w:r w:rsidR="003B09C4">
        <w:rPr>
          <w:rFonts w:ascii="Arial" w:hAnsi="Arial" w:cs="Arial"/>
          <w:sz w:val="20"/>
          <w:szCs w:val="20"/>
        </w:rPr>
        <w:t>a</w:t>
      </w:r>
      <w:r w:rsidR="00BE054E" w:rsidRPr="00C424CA">
        <w:rPr>
          <w:rFonts w:ascii="Arial" w:hAnsi="Arial" w:cs="Arial"/>
          <w:sz w:val="20"/>
          <w:szCs w:val="20"/>
        </w:rPr>
        <w:t xml:space="preserve">). </w:t>
      </w:r>
    </w:p>
    <w:p w:rsidR="00E14B90" w:rsidRDefault="00E14B90" w:rsidP="002C6619">
      <w:pPr>
        <w:jc w:val="both"/>
        <w:rPr>
          <w:rFonts w:ascii="Arial" w:hAnsi="Arial" w:cs="Arial"/>
          <w:sz w:val="20"/>
          <w:szCs w:val="20"/>
        </w:rPr>
      </w:pPr>
      <w:r>
        <w:rPr>
          <w:rFonts w:ascii="Arial" w:hAnsi="Arial" w:cs="Arial"/>
          <w:noProof/>
          <w:sz w:val="20"/>
          <w:szCs w:val="20"/>
          <w:lang w:eastAsia="fr-FR"/>
        </w:rPr>
        <w:drawing>
          <wp:inline distT="0" distB="0" distL="0" distR="0">
            <wp:extent cx="5760720" cy="26517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_va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2651760"/>
                    </a:xfrm>
                    <a:prstGeom prst="rect">
                      <a:avLst/>
                    </a:prstGeom>
                  </pic:spPr>
                </pic:pic>
              </a:graphicData>
            </a:graphic>
          </wp:inline>
        </w:drawing>
      </w:r>
    </w:p>
    <w:p w:rsidR="002C6619" w:rsidRDefault="00E14B90" w:rsidP="002C6619">
      <w:pPr>
        <w:jc w:val="both"/>
        <w:rPr>
          <w:rFonts w:ascii="Arial" w:hAnsi="Arial" w:cs="Arial"/>
          <w:sz w:val="20"/>
          <w:szCs w:val="20"/>
        </w:rPr>
      </w:pPr>
      <w:r w:rsidRPr="005B20C0">
        <w:rPr>
          <w:rFonts w:ascii="Arial" w:hAnsi="Arial" w:cs="Arial"/>
          <w:b/>
          <w:sz w:val="20"/>
          <w:szCs w:val="20"/>
        </w:rPr>
        <w:t xml:space="preserve">Figure </w:t>
      </w:r>
      <w:r w:rsidR="00E80D66">
        <w:rPr>
          <w:rFonts w:ascii="Arial" w:hAnsi="Arial" w:cs="Arial"/>
          <w:b/>
          <w:sz w:val="20"/>
          <w:szCs w:val="20"/>
        </w:rPr>
        <w:t>3</w:t>
      </w:r>
      <w:r w:rsidRPr="005B20C0">
        <w:rPr>
          <w:rFonts w:ascii="Arial" w:hAnsi="Arial" w:cs="Arial"/>
          <w:b/>
          <w:sz w:val="20"/>
          <w:szCs w:val="20"/>
        </w:rPr>
        <w:t xml:space="preserve">. </w:t>
      </w:r>
      <w:r w:rsidR="005041B9" w:rsidRPr="005041B9">
        <w:rPr>
          <w:rFonts w:ascii="Arial" w:hAnsi="Arial" w:cs="Arial"/>
          <w:sz w:val="20"/>
          <w:szCs w:val="20"/>
        </w:rPr>
        <w:t>Etude de sensibilité sur la perméabilité du conduit</w:t>
      </w:r>
      <w:r w:rsidR="005041B9">
        <w:rPr>
          <w:rFonts w:ascii="Arial" w:hAnsi="Arial" w:cs="Arial"/>
          <w:b/>
          <w:sz w:val="20"/>
          <w:szCs w:val="20"/>
        </w:rPr>
        <w:t xml:space="preserve">. </w:t>
      </w:r>
      <w:proofErr w:type="gramStart"/>
      <w:r w:rsidR="005041B9">
        <w:rPr>
          <w:rFonts w:ascii="Arial" w:hAnsi="Arial" w:cs="Arial"/>
          <w:b/>
          <w:sz w:val="20"/>
          <w:szCs w:val="20"/>
        </w:rPr>
        <w:t>a</w:t>
      </w:r>
      <w:proofErr w:type="gramEnd"/>
      <w:r w:rsidR="005041B9">
        <w:rPr>
          <w:rFonts w:ascii="Arial" w:hAnsi="Arial" w:cs="Arial"/>
          <w:b/>
          <w:sz w:val="20"/>
          <w:szCs w:val="20"/>
        </w:rPr>
        <w:t xml:space="preserve">. </w:t>
      </w:r>
      <w:r w:rsidR="005041B9">
        <w:rPr>
          <w:rFonts w:ascii="Arial" w:hAnsi="Arial" w:cs="Arial"/>
          <w:sz w:val="20"/>
          <w:szCs w:val="20"/>
        </w:rPr>
        <w:t xml:space="preserve">Signal PS simulé en amont. </w:t>
      </w:r>
      <w:proofErr w:type="gramStart"/>
      <w:r w:rsidR="005041B9" w:rsidRPr="005041B9">
        <w:rPr>
          <w:rFonts w:ascii="Arial" w:hAnsi="Arial" w:cs="Arial"/>
          <w:b/>
          <w:sz w:val="20"/>
          <w:szCs w:val="20"/>
        </w:rPr>
        <w:t>b</w:t>
      </w:r>
      <w:proofErr w:type="gramEnd"/>
      <w:r w:rsidR="005041B9" w:rsidRPr="005041B9">
        <w:rPr>
          <w:rFonts w:ascii="Arial" w:hAnsi="Arial" w:cs="Arial"/>
          <w:b/>
          <w:sz w:val="20"/>
          <w:szCs w:val="20"/>
        </w:rPr>
        <w:t>.</w:t>
      </w:r>
      <w:r w:rsidR="005041B9">
        <w:rPr>
          <w:rFonts w:ascii="Arial" w:hAnsi="Arial" w:cs="Arial"/>
          <w:sz w:val="20"/>
          <w:szCs w:val="20"/>
        </w:rPr>
        <w:t xml:space="preserve"> Signal PS simulé en aval.</w:t>
      </w:r>
    </w:p>
    <w:p w:rsidR="005041B9" w:rsidRDefault="00BE054E" w:rsidP="002C6619">
      <w:pPr>
        <w:jc w:val="both"/>
        <w:rPr>
          <w:rFonts w:ascii="Arial" w:hAnsi="Arial" w:cs="Arial"/>
          <w:sz w:val="20"/>
          <w:szCs w:val="20"/>
        </w:rPr>
      </w:pPr>
      <w:r w:rsidRPr="00C424CA">
        <w:rPr>
          <w:rFonts w:ascii="Arial" w:hAnsi="Arial" w:cs="Arial"/>
          <w:sz w:val="20"/>
          <w:szCs w:val="20"/>
        </w:rPr>
        <w:t>Le coefficient de corrélation entre les données PS observées et simulées est de 0.9, montrant ainsi que l’algorithme inverse a très bien reconstruit les données PS observées sur la digue.</w:t>
      </w:r>
      <w:r w:rsidR="00722132">
        <w:rPr>
          <w:rFonts w:ascii="Arial" w:hAnsi="Arial" w:cs="Arial"/>
          <w:sz w:val="20"/>
          <w:szCs w:val="20"/>
        </w:rPr>
        <w:t xml:space="preserve"> </w:t>
      </w:r>
      <w:r w:rsidRPr="00C424CA">
        <w:rPr>
          <w:rFonts w:ascii="Arial" w:hAnsi="Arial" w:cs="Arial"/>
          <w:sz w:val="20"/>
          <w:szCs w:val="20"/>
        </w:rPr>
        <w:t xml:space="preserve">De même, la représentation de la distribution du potentiel spontané (voir Figure </w:t>
      </w:r>
      <w:r w:rsidR="003B09C4">
        <w:rPr>
          <w:rFonts w:ascii="Arial" w:hAnsi="Arial" w:cs="Arial"/>
          <w:sz w:val="20"/>
          <w:szCs w:val="20"/>
        </w:rPr>
        <w:t>4b</w:t>
      </w:r>
      <w:r w:rsidRPr="00C424CA">
        <w:rPr>
          <w:rFonts w:ascii="Arial" w:hAnsi="Arial" w:cs="Arial"/>
          <w:sz w:val="20"/>
          <w:szCs w:val="20"/>
        </w:rPr>
        <w:t xml:space="preserve">) montre clairement une </w:t>
      </w:r>
      <w:r w:rsidRPr="00C424CA">
        <w:rPr>
          <w:rFonts w:ascii="Arial" w:hAnsi="Arial" w:cs="Arial"/>
          <w:sz w:val="20"/>
          <w:szCs w:val="20"/>
        </w:rPr>
        <w:lastRenderedPageBreak/>
        <w:t xml:space="preserve">anomalie négative en amont et une anomalie positive en aval avec l’ordre de grandeur observé sur le terrain. Une fois la perméabilité obtenue, nous pouvons calculer la vitesse d’écoulement au sein du conduit, que nous avons évaluée à 0.019 m/s.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6"/>
        <w:gridCol w:w="3762"/>
      </w:tblGrid>
      <w:tr w:rsidR="005041B9" w:rsidTr="00C76FEE">
        <w:tc>
          <w:tcPr>
            <w:tcW w:w="4531" w:type="dxa"/>
          </w:tcPr>
          <w:p w:rsidR="005041B9" w:rsidRDefault="00A64878" w:rsidP="002C6619">
            <w:pPr>
              <w:jc w:val="both"/>
              <w:rPr>
                <w:rFonts w:ascii="Arial" w:hAnsi="Arial" w:cs="Arial"/>
                <w:noProof/>
                <w:sz w:val="20"/>
                <w:szCs w:val="20"/>
                <w:lang w:eastAsia="fr-FR"/>
              </w:rPr>
            </w:pPr>
            <w:r>
              <w:rPr>
                <w:rFonts w:ascii="Arial" w:hAnsi="Arial" w:cs="Arial"/>
                <w:noProof/>
                <w:sz w:val="20"/>
                <w:szCs w:val="20"/>
                <w:lang w:eastAsia="fr-FR"/>
              </w:rPr>
              <w:drawing>
                <wp:inline distT="0" distB="0" distL="0" distR="0" wp14:anchorId="17B6C76C" wp14:editId="5A0D4071">
                  <wp:extent cx="3364973" cy="442800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l_nangbét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64973" cy="4428000"/>
                          </a:xfrm>
                          <a:prstGeom prst="rect">
                            <a:avLst/>
                          </a:prstGeom>
                        </pic:spPr>
                      </pic:pic>
                    </a:graphicData>
                  </a:graphic>
                </wp:inline>
              </w:drawing>
            </w:r>
          </w:p>
          <w:p w:rsidR="00E80D66" w:rsidRDefault="00E80D66" w:rsidP="002C6619">
            <w:pPr>
              <w:jc w:val="both"/>
              <w:rPr>
                <w:rFonts w:ascii="Arial" w:hAnsi="Arial" w:cs="Arial"/>
                <w:noProof/>
                <w:sz w:val="20"/>
                <w:szCs w:val="20"/>
                <w:lang w:eastAsia="fr-FR"/>
              </w:rPr>
            </w:pPr>
          </w:p>
          <w:p w:rsidR="005041B9" w:rsidRDefault="00A64878" w:rsidP="00E80D66">
            <w:pPr>
              <w:jc w:val="both"/>
              <w:rPr>
                <w:rFonts w:ascii="Arial" w:hAnsi="Arial" w:cs="Arial"/>
                <w:noProof/>
                <w:sz w:val="20"/>
                <w:szCs w:val="20"/>
                <w:lang w:eastAsia="fr-FR"/>
              </w:rPr>
            </w:pPr>
            <w:r>
              <w:rPr>
                <w:rFonts w:ascii="Arial" w:hAnsi="Arial" w:cs="Arial"/>
                <w:noProof/>
                <w:sz w:val="20"/>
                <w:szCs w:val="20"/>
                <w:lang w:eastAsia="fr-FR"/>
              </w:rPr>
              <w:t>Figure</w:t>
            </w:r>
            <w:r w:rsidR="00E80D66">
              <w:rPr>
                <w:rFonts w:ascii="Arial" w:hAnsi="Arial" w:cs="Arial"/>
                <w:noProof/>
                <w:sz w:val="20"/>
                <w:szCs w:val="20"/>
                <w:lang w:eastAsia="fr-FR"/>
              </w:rPr>
              <w:t xml:space="preserve"> 4</w:t>
            </w:r>
            <w:r>
              <w:rPr>
                <w:rFonts w:ascii="Arial" w:hAnsi="Arial" w:cs="Arial"/>
                <w:noProof/>
                <w:sz w:val="20"/>
                <w:szCs w:val="20"/>
                <w:lang w:eastAsia="fr-FR"/>
              </w:rPr>
              <w:t xml:space="preserve">. Signal PS . </w:t>
            </w:r>
            <w:r w:rsidRPr="00A64878">
              <w:rPr>
                <w:rFonts w:ascii="Arial" w:hAnsi="Arial" w:cs="Arial"/>
                <w:b/>
                <w:noProof/>
                <w:sz w:val="20"/>
                <w:szCs w:val="20"/>
                <w:lang w:eastAsia="fr-FR"/>
              </w:rPr>
              <w:t>a</w:t>
            </w:r>
            <w:r>
              <w:rPr>
                <w:rFonts w:ascii="Arial" w:hAnsi="Arial" w:cs="Arial"/>
                <w:noProof/>
                <w:sz w:val="20"/>
                <w:szCs w:val="20"/>
                <w:lang w:eastAsia="fr-FR"/>
              </w:rPr>
              <w:t xml:space="preserve">. Signal PS observé VS signal simulé. </w:t>
            </w:r>
            <w:r w:rsidRPr="00A64878">
              <w:rPr>
                <w:rFonts w:ascii="Arial" w:hAnsi="Arial" w:cs="Arial"/>
                <w:b/>
                <w:noProof/>
                <w:sz w:val="20"/>
                <w:szCs w:val="20"/>
                <w:lang w:eastAsia="fr-FR"/>
              </w:rPr>
              <w:t>b.</w:t>
            </w:r>
            <w:r>
              <w:rPr>
                <w:rFonts w:ascii="Arial" w:hAnsi="Arial" w:cs="Arial"/>
                <w:noProof/>
                <w:sz w:val="20"/>
                <w:szCs w:val="20"/>
                <w:lang w:eastAsia="fr-FR"/>
              </w:rPr>
              <w:t xml:space="preserve"> Distribution du champ de PS.</w:t>
            </w:r>
          </w:p>
        </w:tc>
        <w:tc>
          <w:tcPr>
            <w:tcW w:w="4531" w:type="dxa"/>
          </w:tcPr>
          <w:p w:rsidR="005041B9" w:rsidRPr="00C424CA" w:rsidRDefault="005041B9" w:rsidP="002C6619">
            <w:pPr>
              <w:spacing w:line="276" w:lineRule="auto"/>
              <w:jc w:val="both"/>
              <w:rPr>
                <w:rFonts w:ascii="Arial" w:hAnsi="Arial" w:cs="Arial"/>
                <w:b/>
                <w:sz w:val="20"/>
                <w:szCs w:val="20"/>
              </w:rPr>
            </w:pPr>
            <w:proofErr w:type="gramStart"/>
            <w:r w:rsidRPr="00C424CA">
              <w:rPr>
                <w:rFonts w:ascii="Arial" w:hAnsi="Arial" w:cs="Arial"/>
                <w:b/>
                <w:sz w:val="20"/>
                <w:szCs w:val="20"/>
              </w:rPr>
              <w:t>4.Conclusion</w:t>
            </w:r>
            <w:proofErr w:type="gramEnd"/>
          </w:p>
          <w:p w:rsidR="005041B9" w:rsidRDefault="005041B9" w:rsidP="002C6619">
            <w:pPr>
              <w:jc w:val="both"/>
              <w:rPr>
                <w:rFonts w:ascii="Arial" w:hAnsi="Arial" w:cs="Arial"/>
                <w:sz w:val="20"/>
                <w:szCs w:val="20"/>
              </w:rPr>
            </w:pPr>
            <w:r>
              <w:rPr>
                <w:rFonts w:ascii="Arial" w:hAnsi="Arial" w:cs="Arial"/>
                <w:sz w:val="20"/>
                <w:szCs w:val="20"/>
              </w:rPr>
              <w:t xml:space="preserve">La méthode du potentiel spontané étant une méthode géophysique passive et facile à mettre en œuvre, est très prometteuse pour l’auscultation non destructive à grande échelle des barrages et des digues. Nous avons développé une stratégie d’inversion qui permet de mettre en évidence la présence d’une fuite dans un ouvrage hydraulique et d’estimer les propriétés hydrauliques du chemin préférentiel d’écoulement associé à la présence d’une </w:t>
            </w:r>
            <w:r w:rsidR="00937066">
              <w:rPr>
                <w:rFonts w:ascii="Arial" w:hAnsi="Arial" w:cs="Arial"/>
                <w:sz w:val="20"/>
                <w:szCs w:val="20"/>
              </w:rPr>
              <w:t xml:space="preserve">telle </w:t>
            </w:r>
            <w:r>
              <w:rPr>
                <w:rFonts w:ascii="Arial" w:hAnsi="Arial" w:cs="Arial"/>
                <w:sz w:val="20"/>
                <w:szCs w:val="20"/>
              </w:rPr>
              <w:t>fuite au sein de l’ouvrage ou dans sa fondation. Cette étude montre le rôle important que joue la modélisation numérique dans l’interprétation des données de potentiel spontané dans le but de fournir un outil non destructif d’auscultation des ouvrages hydrauliques.</w:t>
            </w:r>
          </w:p>
        </w:tc>
      </w:tr>
    </w:tbl>
    <w:p w:rsidR="00D934B0" w:rsidRDefault="00D934B0" w:rsidP="002C6619">
      <w:pPr>
        <w:jc w:val="both"/>
        <w:rPr>
          <w:rFonts w:ascii="Arial" w:hAnsi="Arial" w:cs="Arial"/>
          <w:b/>
          <w:sz w:val="20"/>
          <w:szCs w:val="20"/>
          <w:lang w:val="en-US"/>
        </w:rPr>
      </w:pPr>
    </w:p>
    <w:p w:rsidR="0084407F" w:rsidRPr="00A64878" w:rsidRDefault="0084407F" w:rsidP="002C6619">
      <w:pPr>
        <w:jc w:val="both"/>
        <w:rPr>
          <w:rFonts w:ascii="Arial" w:hAnsi="Arial" w:cs="Arial"/>
          <w:sz w:val="20"/>
          <w:szCs w:val="20"/>
        </w:rPr>
      </w:pPr>
      <w:proofErr w:type="spellStart"/>
      <w:r w:rsidRPr="00B6490C">
        <w:rPr>
          <w:rFonts w:ascii="Arial" w:hAnsi="Arial" w:cs="Arial"/>
          <w:b/>
          <w:sz w:val="20"/>
          <w:szCs w:val="20"/>
          <w:lang w:val="en-US"/>
        </w:rPr>
        <w:t>Références</w:t>
      </w:r>
      <w:proofErr w:type="spellEnd"/>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szCs w:val="20"/>
        </w:rPr>
        <w:fldChar w:fldCharType="begin"/>
      </w:r>
      <w:r w:rsidRPr="00B6490C">
        <w:rPr>
          <w:rFonts w:ascii="Arial" w:hAnsi="Arial" w:cs="Arial"/>
          <w:sz w:val="20"/>
          <w:szCs w:val="20"/>
          <w:lang w:val="en-US"/>
        </w:rPr>
        <w:instrText xml:space="preserve"> ADDIN ZOTERO_BIBL {"uncited":[],"omitted":[],"custom":[]} CSL_BIBLIOGRAPHY </w:instrText>
      </w:r>
      <w:r w:rsidRPr="00B6490C">
        <w:rPr>
          <w:rFonts w:ascii="Arial" w:hAnsi="Arial" w:cs="Arial"/>
          <w:sz w:val="20"/>
          <w:szCs w:val="20"/>
        </w:rPr>
        <w:fldChar w:fldCharType="separate"/>
      </w:r>
      <w:r w:rsidRPr="00B6490C">
        <w:rPr>
          <w:rFonts w:ascii="Arial" w:hAnsi="Arial" w:cs="Arial"/>
          <w:sz w:val="20"/>
          <w:lang w:val="en-US"/>
        </w:rPr>
        <w:t>Al-Saigh, N.H., Mohammed, Z.S., Dahham, M.S., 1994. Detection of water leakage from dams by self-potential method. Engineering Geology 37, 115–121. https://doi.org/10.1016/0013-7952(94)90046-9</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Haario, H., Laine, M., Mira, A., Saksman, E., 2006. DRAM: efficient adaptive MCMC. Statistics and computing 16, 339–354.</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Hastings, W.K., 1970. Monte Carlo sampling methods using Markov chains and their applications.</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Metropolis, N., Rosenbluth, A.W., Rosenbluth, M.N., Teller, A.H., Teller, E., 1953. Equation of state calculations by fast computing machines. The journal of chemical physics 21, 1087–1092.</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Panthulu, T.V., Krishnaiah, C., Shirke, J.M., 2001. Detection of seepage paths in earth dams using self-potential and electrical resistivity methods. Engineering Geology 59, 281–295. https://doi.org/10.1016/S0013-7952(00)00082-X</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Sambridge, M., Mosegaard, K., 2002. Monte Carlo methods in geophysical inverse problems. Reviews of Geophysics 40, 3-1-3–29.</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Sheffer, M.R., Oldenburg, D.W., 2007. Three-dimensional modelling of streaming potential. Geophysical Journal International 169, 839–848.</w:t>
      </w:r>
    </w:p>
    <w:p w:rsidR="00B6490C" w:rsidRPr="00B6490C" w:rsidRDefault="00B6490C" w:rsidP="002C6619">
      <w:pPr>
        <w:pStyle w:val="Bibliographie"/>
        <w:jc w:val="both"/>
        <w:rPr>
          <w:rFonts w:ascii="Arial" w:hAnsi="Arial" w:cs="Arial"/>
          <w:sz w:val="20"/>
          <w:lang w:val="en-US"/>
        </w:rPr>
      </w:pPr>
      <w:r w:rsidRPr="00B6490C">
        <w:rPr>
          <w:rFonts w:ascii="Arial" w:hAnsi="Arial" w:cs="Arial"/>
          <w:sz w:val="20"/>
          <w:lang w:val="en-US"/>
        </w:rPr>
        <w:t>Soueid Ahmed, A., Revil, A., Steck, B., Vergniault, C., Jardani, A., Vinceslas, G., 2019. Self-potential signals associated with localized leaks in embankment dams and dikes.</w:t>
      </w:r>
    </w:p>
    <w:p w:rsidR="00D934B0" w:rsidRDefault="00B6490C" w:rsidP="002C6619">
      <w:pPr>
        <w:jc w:val="both"/>
        <w:rPr>
          <w:rFonts w:ascii="Arial" w:hAnsi="Arial" w:cs="Arial"/>
          <w:sz w:val="20"/>
          <w:szCs w:val="20"/>
        </w:rPr>
      </w:pPr>
      <w:r w:rsidRPr="00B6490C">
        <w:rPr>
          <w:rFonts w:ascii="Arial" w:hAnsi="Arial" w:cs="Arial"/>
          <w:sz w:val="20"/>
          <w:szCs w:val="20"/>
        </w:rPr>
        <w:fldChar w:fldCharType="end"/>
      </w:r>
    </w:p>
    <w:p w:rsidR="004310DB" w:rsidRPr="00D934B0" w:rsidRDefault="004310DB" w:rsidP="002C6619">
      <w:pPr>
        <w:jc w:val="both"/>
        <w:rPr>
          <w:rFonts w:ascii="Times New Roman" w:hAnsi="Times New Roman" w:cs="Times New Roman"/>
          <w:sz w:val="20"/>
          <w:szCs w:val="20"/>
          <w:lang w:val="en-US"/>
        </w:rPr>
      </w:pPr>
      <w:r w:rsidRPr="004310DB">
        <w:rPr>
          <w:rFonts w:ascii="Arial" w:hAnsi="Arial" w:cs="Arial"/>
          <w:b/>
          <w:sz w:val="20"/>
          <w:szCs w:val="20"/>
        </w:rPr>
        <w:lastRenderedPageBreak/>
        <w:t>Mot</w:t>
      </w:r>
      <w:r>
        <w:rPr>
          <w:rFonts w:ascii="Arial" w:hAnsi="Arial" w:cs="Arial"/>
          <w:b/>
          <w:sz w:val="20"/>
          <w:szCs w:val="20"/>
        </w:rPr>
        <w:t xml:space="preserve">s clefs : </w:t>
      </w:r>
      <w:r w:rsidR="00B40CD4">
        <w:rPr>
          <w:rFonts w:ascii="Arial" w:hAnsi="Arial" w:cs="Arial"/>
          <w:b/>
          <w:sz w:val="20"/>
          <w:szCs w:val="20"/>
        </w:rPr>
        <w:t>digues, potentiel spontané, inversion, modélisation numérique, fuites.</w:t>
      </w:r>
    </w:p>
    <w:sectPr w:rsidR="004310DB" w:rsidRPr="00D934B0" w:rsidSect="00D934B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1C9" w:rsidRDefault="00C551C9" w:rsidP="00D934B0">
      <w:pPr>
        <w:spacing w:after="0" w:line="240" w:lineRule="auto"/>
      </w:pPr>
      <w:r>
        <w:separator/>
      </w:r>
    </w:p>
  </w:endnote>
  <w:endnote w:type="continuationSeparator" w:id="0">
    <w:p w:rsidR="00C551C9" w:rsidRDefault="00C551C9" w:rsidP="00D93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dvTT94c8263f.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1C9" w:rsidRDefault="00C551C9" w:rsidP="00D934B0">
      <w:pPr>
        <w:spacing w:after="0" w:line="240" w:lineRule="auto"/>
      </w:pPr>
      <w:r>
        <w:separator/>
      </w:r>
    </w:p>
  </w:footnote>
  <w:footnote w:type="continuationSeparator" w:id="0">
    <w:p w:rsidR="00C551C9" w:rsidRDefault="00C551C9" w:rsidP="00D934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F0"/>
    <w:rsid w:val="00032885"/>
    <w:rsid w:val="000B63F0"/>
    <w:rsid w:val="000E13CE"/>
    <w:rsid w:val="001E3E98"/>
    <w:rsid w:val="002221B2"/>
    <w:rsid w:val="00255C00"/>
    <w:rsid w:val="002967EC"/>
    <w:rsid w:val="002C6619"/>
    <w:rsid w:val="00384DA4"/>
    <w:rsid w:val="003A074B"/>
    <w:rsid w:val="003B09C4"/>
    <w:rsid w:val="003C2D9B"/>
    <w:rsid w:val="004310DB"/>
    <w:rsid w:val="004C14E0"/>
    <w:rsid w:val="004E1625"/>
    <w:rsid w:val="005041B9"/>
    <w:rsid w:val="005B20C0"/>
    <w:rsid w:val="005C7F76"/>
    <w:rsid w:val="00660E9B"/>
    <w:rsid w:val="0066738B"/>
    <w:rsid w:val="00693AD6"/>
    <w:rsid w:val="006A783B"/>
    <w:rsid w:val="006B5D1E"/>
    <w:rsid w:val="006D3E47"/>
    <w:rsid w:val="006E623A"/>
    <w:rsid w:val="00722132"/>
    <w:rsid w:val="00831E18"/>
    <w:rsid w:val="0084407F"/>
    <w:rsid w:val="00937066"/>
    <w:rsid w:val="009A2431"/>
    <w:rsid w:val="009D49B2"/>
    <w:rsid w:val="00A53926"/>
    <w:rsid w:val="00A64878"/>
    <w:rsid w:val="00A6508C"/>
    <w:rsid w:val="00AC6C34"/>
    <w:rsid w:val="00B40CD4"/>
    <w:rsid w:val="00B6490C"/>
    <w:rsid w:val="00BE054E"/>
    <w:rsid w:val="00C424CA"/>
    <w:rsid w:val="00C5147A"/>
    <w:rsid w:val="00C551C9"/>
    <w:rsid w:val="00C76FEE"/>
    <w:rsid w:val="00CB5D17"/>
    <w:rsid w:val="00CB69C3"/>
    <w:rsid w:val="00D048A0"/>
    <w:rsid w:val="00D934B0"/>
    <w:rsid w:val="00E14B90"/>
    <w:rsid w:val="00E80D66"/>
    <w:rsid w:val="00F95B05"/>
    <w:rsid w:val="00FF4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ffiliation">
    <w:name w:val="Affiliation"/>
    <w:basedOn w:val="Normal"/>
    <w:next w:val="Normal"/>
    <w:rsid w:val="004310DB"/>
    <w:pPr>
      <w:suppressAutoHyphens/>
      <w:overflowPunct w:val="0"/>
      <w:autoSpaceDE w:val="0"/>
      <w:autoSpaceDN w:val="0"/>
      <w:adjustRightInd w:val="0"/>
      <w:spacing w:after="100" w:line="260" w:lineRule="exact"/>
      <w:jc w:val="both"/>
      <w:textAlignment w:val="baseline"/>
    </w:pPr>
    <w:rPr>
      <w:rFonts w:ascii="Times New Roman" w:eastAsia="Times New Roman" w:hAnsi="Times New Roman" w:cs="Times New Roman"/>
      <w:i/>
      <w:sz w:val="24"/>
      <w:szCs w:val="20"/>
      <w:lang w:val="en-US"/>
    </w:rPr>
  </w:style>
  <w:style w:type="paragraph" w:styleId="Bibliographie">
    <w:name w:val="Bibliography"/>
    <w:basedOn w:val="Normal"/>
    <w:next w:val="Normal"/>
    <w:uiPriority w:val="37"/>
    <w:unhideWhenUsed/>
    <w:rsid w:val="00B6490C"/>
    <w:pPr>
      <w:spacing w:after="0" w:line="240" w:lineRule="auto"/>
      <w:ind w:left="720" w:hanging="720"/>
    </w:pPr>
  </w:style>
  <w:style w:type="table" w:styleId="Grilledutableau">
    <w:name w:val="Table Grid"/>
    <w:basedOn w:val="TableauNormal"/>
    <w:uiPriority w:val="59"/>
    <w:rsid w:val="00504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934B0"/>
    <w:pPr>
      <w:tabs>
        <w:tab w:val="center" w:pos="4536"/>
        <w:tab w:val="right" w:pos="9072"/>
      </w:tabs>
      <w:spacing w:after="0" w:line="240" w:lineRule="auto"/>
    </w:pPr>
  </w:style>
  <w:style w:type="character" w:customStyle="1" w:styleId="En-tteCar">
    <w:name w:val="En-tête Car"/>
    <w:basedOn w:val="Policepardfaut"/>
    <w:link w:val="En-tte"/>
    <w:uiPriority w:val="99"/>
    <w:rsid w:val="00D934B0"/>
  </w:style>
  <w:style w:type="paragraph" w:styleId="Pieddepage">
    <w:name w:val="footer"/>
    <w:basedOn w:val="Normal"/>
    <w:link w:val="PieddepageCar"/>
    <w:uiPriority w:val="99"/>
    <w:unhideWhenUsed/>
    <w:rsid w:val="00D934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34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ffiliation">
    <w:name w:val="Affiliation"/>
    <w:basedOn w:val="Normal"/>
    <w:next w:val="Normal"/>
    <w:rsid w:val="004310DB"/>
    <w:pPr>
      <w:suppressAutoHyphens/>
      <w:overflowPunct w:val="0"/>
      <w:autoSpaceDE w:val="0"/>
      <w:autoSpaceDN w:val="0"/>
      <w:adjustRightInd w:val="0"/>
      <w:spacing w:after="100" w:line="260" w:lineRule="exact"/>
      <w:jc w:val="both"/>
      <w:textAlignment w:val="baseline"/>
    </w:pPr>
    <w:rPr>
      <w:rFonts w:ascii="Times New Roman" w:eastAsia="Times New Roman" w:hAnsi="Times New Roman" w:cs="Times New Roman"/>
      <w:i/>
      <w:sz w:val="24"/>
      <w:szCs w:val="20"/>
      <w:lang w:val="en-US"/>
    </w:rPr>
  </w:style>
  <w:style w:type="paragraph" w:styleId="Bibliographie">
    <w:name w:val="Bibliography"/>
    <w:basedOn w:val="Normal"/>
    <w:next w:val="Normal"/>
    <w:uiPriority w:val="37"/>
    <w:unhideWhenUsed/>
    <w:rsid w:val="00B6490C"/>
    <w:pPr>
      <w:spacing w:after="0" w:line="240" w:lineRule="auto"/>
      <w:ind w:left="720" w:hanging="720"/>
    </w:pPr>
  </w:style>
  <w:style w:type="table" w:styleId="Grilledutableau">
    <w:name w:val="Table Grid"/>
    <w:basedOn w:val="TableauNormal"/>
    <w:uiPriority w:val="59"/>
    <w:rsid w:val="00504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934B0"/>
    <w:pPr>
      <w:tabs>
        <w:tab w:val="center" w:pos="4536"/>
        <w:tab w:val="right" w:pos="9072"/>
      </w:tabs>
      <w:spacing w:after="0" w:line="240" w:lineRule="auto"/>
    </w:pPr>
  </w:style>
  <w:style w:type="character" w:customStyle="1" w:styleId="En-tteCar">
    <w:name w:val="En-tête Car"/>
    <w:basedOn w:val="Policepardfaut"/>
    <w:link w:val="En-tte"/>
    <w:uiPriority w:val="99"/>
    <w:rsid w:val="00D934B0"/>
  </w:style>
  <w:style w:type="paragraph" w:styleId="Pieddepage">
    <w:name w:val="footer"/>
    <w:basedOn w:val="Normal"/>
    <w:link w:val="PieddepageCar"/>
    <w:uiPriority w:val="99"/>
    <w:unhideWhenUsed/>
    <w:rsid w:val="00D934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3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1659</Words>
  <Characters>9125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Abdellahi</dc:creator>
  <cp:lastModifiedBy>PKB</cp:lastModifiedBy>
  <cp:revision>2</cp:revision>
  <dcterms:created xsi:type="dcterms:W3CDTF">2019-07-01T12:45:00Z</dcterms:created>
  <dcterms:modified xsi:type="dcterms:W3CDTF">2019-07-01T12:45:00Z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zotero-version="5.0.67"&gt;&lt;session id="lQk8lXsQ"/&gt;&lt;style id="http://www.zotero.org/styles/engineering-geology" hasBibliography="1" bibliographyStyleHasBeenSet="1"/&gt;&lt;prefs&gt;&lt;pref name="fieldType" value="Field"/&gt;&lt;/prefs&gt;&lt;/data&gt;</vt:lpwstr>
  </property>
</Properties>
</file>